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</w:t>
      </w:r>
      <w:r>
        <w:rPr>
          <w:rFonts w:cs="Times New Roman" w:ascii="Times New Roman" w:hAnsi="Times New Roman"/>
          <w:b/>
          <w:lang w:val="uk-UA"/>
        </w:rPr>
        <w:t>7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191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17год.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територіальному виборчому окрузі №</w:t>
      </w:r>
      <w:bookmarkStart w:id="0" w:name="__DdeLink__18070_2085878542"/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>19,77,99,101,106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19,77,99,101,106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уповноваженими особами у територіальному виборчому окрузі №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19,77,99,101,106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____________________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2015-10-13T19:19:35Z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