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3" w:before="0" w:after="0"/>
        <w:jc w:val="center"/>
        <w:rPr>
          <w:rFonts w:ascii="Times New Roman" w:hAnsi="Times New Roman" w:cs="Times New Roman"/>
          <w:b/>
          <w:b/>
          <w:sz w:val="26"/>
          <w:szCs w:val="26"/>
        </w:rPr>
      </w:pPr>
      <w:r>
        <w:rPr>
          <w:rFonts w:cs="Times New Roman" w:ascii="Times New Roman" w:hAnsi="Times New Roman"/>
          <w:b/>
          <w:sz w:val="28"/>
          <w:szCs w:val="28"/>
        </w:rPr>
        <w:t>Протокол засідання робочої групи</w:t>
      </w:r>
      <w:r>
        <w:rPr>
          <w:rFonts w:cs="Times New Roman" w:ascii="Times New Roman" w:hAnsi="Times New Roman"/>
          <w:b/>
          <w:sz w:val="26"/>
          <w:szCs w:val="26"/>
        </w:rPr>
        <w:t>,</w:t>
      </w:r>
    </w:p>
    <w:p>
      <w:pPr>
        <w:pStyle w:val="Normal"/>
        <w:spacing w:lineRule="atLeast" w:line="23"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tLeast" w:line="23" w:before="0" w:after="0"/>
        <w:contextualSpacing/>
        <w:jc w:val="both"/>
        <w:rPr>
          <w:rFonts w:ascii="Times New Roman" w:hAnsi="Times New Roman" w:cs="Times New Roman"/>
          <w:i/>
          <w:i/>
          <w:sz w:val="26"/>
          <w:szCs w:val="26"/>
        </w:rPr>
      </w:pPr>
      <w:r>
        <w:rPr>
          <w:rFonts w:cs="Times New Roman" w:ascii="Times New Roman" w:hAnsi="Times New Roman"/>
          <w:i/>
          <w:sz w:val="26"/>
          <w:szCs w:val="26"/>
        </w:rPr>
        <w:t>Створеної на засіданні постійної комісії Київської міської ради з питань освіти, науки, сім’ї, молоді та спорту від 06.07.2016 р. протокольним рішенням для перевірки господарської діяльності ДЮСШ № 17 на чолі з депутатом Київської міської ради Паладієм С.В. та депутатами Київської міської ради Гончаровим О.В. і     Товмасяном В.Р.</w:t>
      </w:r>
    </w:p>
    <w:p>
      <w:pPr>
        <w:pStyle w:val="Normal"/>
        <w:spacing w:lineRule="atLeast" w:line="23" w:before="0" w:after="0"/>
        <w:contextualSpacing/>
        <w:jc w:val="center"/>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tLeast" w:line="23" w:before="0" w:after="0"/>
        <w:contextualSpacing/>
        <w:jc w:val="both"/>
        <w:rPr>
          <w:rFonts w:ascii="Times New Roman" w:hAnsi="Times New Roman" w:cs="Times New Roman"/>
          <w:i/>
          <w:i/>
          <w:sz w:val="26"/>
          <w:szCs w:val="26"/>
        </w:rPr>
      </w:pPr>
      <w:r>
        <w:rPr>
          <w:rFonts w:cs="Times New Roman" w:ascii="Times New Roman" w:hAnsi="Times New Roman"/>
          <w:i/>
          <w:sz w:val="26"/>
          <w:szCs w:val="26"/>
        </w:rPr>
        <w:t>від 16</w:t>
      </w:r>
      <w:bookmarkStart w:id="0" w:name="_GoBack"/>
      <w:bookmarkEnd w:id="0"/>
      <w:r>
        <w:rPr>
          <w:rFonts w:cs="Times New Roman" w:ascii="Times New Roman" w:hAnsi="Times New Roman"/>
          <w:i/>
          <w:sz w:val="26"/>
          <w:szCs w:val="26"/>
        </w:rPr>
        <w:t>.09.2016 р.                                                                                                      09-00 год.</w:t>
      </w:r>
    </w:p>
    <w:p>
      <w:pPr>
        <w:pStyle w:val="Normal"/>
        <w:spacing w:lineRule="atLeast" w:line="23" w:before="0" w:after="0"/>
        <w:contextualSpacing/>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tLeast" w:line="23" w:before="0" w:after="0"/>
        <w:contextualSpacing/>
        <w:jc w:val="both"/>
        <w:rPr>
          <w:rFonts w:ascii="Times New Roman" w:hAnsi="Times New Roman" w:cs="Times New Roman"/>
          <w:b/>
          <w:b/>
          <w:i/>
          <w:i/>
          <w:sz w:val="26"/>
          <w:szCs w:val="26"/>
        </w:rPr>
      </w:pPr>
      <w:r>
        <w:rPr>
          <w:rFonts w:cs="Times New Roman" w:ascii="Times New Roman" w:hAnsi="Times New Roman"/>
          <w:b/>
          <w:i/>
          <w:sz w:val="26"/>
          <w:szCs w:val="26"/>
        </w:rPr>
        <w:t>Присутні члени робочої групи:</w:t>
      </w:r>
    </w:p>
    <w:p>
      <w:pPr>
        <w:pStyle w:val="Normal"/>
        <w:spacing w:lineRule="atLeast" w:line="23" w:before="0" w:after="0"/>
        <w:contextualSpacing/>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spacing w:lineRule="atLeast" w:line="23" w:before="0" w:after="0"/>
        <w:contextualSpacing/>
        <w:jc w:val="both"/>
        <w:rPr>
          <w:rFonts w:ascii="Times New Roman" w:hAnsi="Times New Roman" w:cs="Times New Roman"/>
          <w:i/>
          <w:i/>
          <w:sz w:val="26"/>
          <w:szCs w:val="26"/>
        </w:rPr>
      </w:pPr>
      <w:r>
        <w:rPr>
          <w:rFonts w:cs="Times New Roman" w:ascii="Times New Roman" w:hAnsi="Times New Roman"/>
          <w:i/>
          <w:sz w:val="26"/>
          <w:szCs w:val="26"/>
        </w:rPr>
        <w:t>Паладій С.В. – голова робочої групи, депутат Київської міської ради;</w:t>
      </w:r>
    </w:p>
    <w:p>
      <w:pPr>
        <w:pStyle w:val="Normal"/>
        <w:spacing w:lineRule="atLeast" w:line="23" w:before="0" w:after="0"/>
        <w:contextualSpacing/>
        <w:jc w:val="both"/>
        <w:rPr>
          <w:rFonts w:ascii="Times New Roman" w:hAnsi="Times New Roman" w:cs="Times New Roman"/>
          <w:i/>
          <w:i/>
          <w:sz w:val="26"/>
          <w:szCs w:val="26"/>
        </w:rPr>
      </w:pPr>
      <w:r>
        <w:rPr>
          <w:rFonts w:cs="Times New Roman" w:ascii="Times New Roman" w:hAnsi="Times New Roman"/>
          <w:i/>
          <w:sz w:val="26"/>
          <w:szCs w:val="26"/>
        </w:rPr>
        <w:t>Товмасян В.Р. – член робочої групи, депутат Київської міської ради.</w:t>
      </w:r>
    </w:p>
    <w:p>
      <w:pPr>
        <w:pStyle w:val="Normal"/>
        <w:spacing w:lineRule="atLeast" w:line="23" w:before="0" w:after="0"/>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spacing w:lineRule="atLeast" w:line="23" w:before="0" w:after="0"/>
        <w:jc w:val="both"/>
        <w:rPr>
          <w:rFonts w:ascii="Times New Roman" w:hAnsi="Times New Roman" w:cs="Times New Roman"/>
          <w:b/>
          <w:b/>
          <w:i/>
          <w:i/>
          <w:sz w:val="26"/>
          <w:szCs w:val="26"/>
        </w:rPr>
      </w:pPr>
      <w:r>
        <w:rPr>
          <w:rFonts w:cs="Times New Roman" w:ascii="Times New Roman" w:hAnsi="Times New Roman"/>
          <w:b/>
          <w:i/>
          <w:sz w:val="26"/>
          <w:szCs w:val="26"/>
        </w:rPr>
        <w:t>ПОРЯДОК ДЕННИЙ:</w:t>
      </w:r>
    </w:p>
    <w:p>
      <w:pPr>
        <w:pStyle w:val="Normal"/>
        <w:spacing w:lineRule="atLeast" w:line="23" w:before="0" w:after="0"/>
        <w:jc w:val="both"/>
        <w:rPr>
          <w:rFonts w:ascii="Times New Roman" w:hAnsi="Times New Roman" w:cs="Times New Roman"/>
          <w:b/>
          <w:b/>
          <w:i/>
          <w:i/>
          <w:sz w:val="26"/>
          <w:szCs w:val="26"/>
        </w:rPr>
      </w:pPr>
      <w:r>
        <w:rPr>
          <w:rFonts w:cs="Times New Roman" w:ascii="Times New Roman" w:hAnsi="Times New Roman"/>
          <w:b/>
          <w:i/>
          <w:sz w:val="26"/>
          <w:szCs w:val="26"/>
        </w:rPr>
      </w:r>
    </w:p>
    <w:p>
      <w:pPr>
        <w:pStyle w:val="ListParagraph"/>
        <w:numPr>
          <w:ilvl w:val="0"/>
          <w:numId w:val="3"/>
        </w:numPr>
        <w:spacing w:lineRule="atLeast" w:line="23" w:before="0" w:after="0"/>
        <w:contextualSpacing/>
        <w:jc w:val="both"/>
        <w:rPr>
          <w:rFonts w:ascii="Times New Roman" w:hAnsi="Times New Roman" w:cs="Times New Roman"/>
          <w:b/>
          <w:b/>
          <w:i/>
          <w:i/>
          <w:sz w:val="26"/>
          <w:szCs w:val="26"/>
        </w:rPr>
      </w:pPr>
      <w:r>
        <w:rPr>
          <w:rFonts w:cs="Times New Roman" w:ascii="Times New Roman" w:hAnsi="Times New Roman"/>
          <w:b/>
          <w:i/>
          <w:sz w:val="26"/>
          <w:szCs w:val="26"/>
        </w:rPr>
        <w:t>Заслуховування та затвердження Звіту робочої групи;</w:t>
      </w:r>
    </w:p>
    <w:p>
      <w:pPr>
        <w:pStyle w:val="ListParagraph"/>
        <w:numPr>
          <w:ilvl w:val="0"/>
          <w:numId w:val="3"/>
        </w:numPr>
        <w:spacing w:lineRule="atLeast" w:line="23" w:before="0" w:after="0"/>
        <w:contextualSpacing/>
        <w:jc w:val="both"/>
        <w:rPr>
          <w:rFonts w:ascii="Times New Roman" w:hAnsi="Times New Roman" w:cs="Times New Roman"/>
          <w:b/>
          <w:b/>
          <w:i/>
          <w:i/>
          <w:sz w:val="26"/>
          <w:szCs w:val="26"/>
        </w:rPr>
      </w:pPr>
      <w:r>
        <w:rPr>
          <w:rFonts w:cs="Times New Roman" w:ascii="Times New Roman" w:hAnsi="Times New Roman"/>
          <w:b/>
          <w:i/>
          <w:sz w:val="26"/>
          <w:szCs w:val="26"/>
        </w:rPr>
        <w:t>Заслуховування та надання Рекомендацій за результатами роботи робочої групи.</w:t>
      </w:r>
    </w:p>
    <w:p>
      <w:pPr>
        <w:pStyle w:val="Normal"/>
        <w:spacing w:lineRule="atLeast" w:line="23" w:before="0" w:after="0"/>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spacing w:lineRule="atLeast" w:line="23" w:before="0" w:after="0"/>
        <w:jc w:val="both"/>
        <w:rPr>
          <w:rFonts w:ascii="Times New Roman" w:hAnsi="Times New Roman" w:cs="Times New Roman"/>
          <w:b/>
          <w:b/>
          <w:i/>
          <w:i/>
          <w:sz w:val="26"/>
          <w:szCs w:val="26"/>
        </w:rPr>
      </w:pPr>
      <w:r>
        <w:rPr>
          <w:rFonts w:cs="Times New Roman" w:ascii="Times New Roman" w:hAnsi="Times New Roman"/>
          <w:b/>
          <w:i/>
          <w:sz w:val="26"/>
          <w:szCs w:val="26"/>
        </w:rPr>
        <w:t>ВИСТУПИВ:</w:t>
      </w:r>
    </w:p>
    <w:p>
      <w:pPr>
        <w:pStyle w:val="Normal"/>
        <w:spacing w:lineRule="atLeast" w:line="23" w:before="0" w:after="0"/>
        <w:jc w:val="both"/>
        <w:rPr>
          <w:rFonts w:ascii="Times New Roman" w:hAnsi="Times New Roman" w:cs="Times New Roman"/>
          <w:i/>
          <w:i/>
          <w:sz w:val="26"/>
          <w:szCs w:val="26"/>
        </w:rPr>
      </w:pPr>
      <w:r>
        <w:rPr>
          <w:rFonts w:cs="Times New Roman" w:ascii="Times New Roman" w:hAnsi="Times New Roman"/>
          <w:i/>
          <w:sz w:val="26"/>
          <w:szCs w:val="26"/>
        </w:rPr>
        <w:t>Паладій С.В., який запропонував затвердити Звіт робочої групи.</w:t>
      </w:r>
    </w:p>
    <w:p>
      <w:pPr>
        <w:pStyle w:val="Normal"/>
        <w:spacing w:lineRule="atLeast" w:line="23" w:before="0" w:after="0"/>
        <w:contextualSpacing/>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tLeast" w:line="23" w:before="0" w:after="0"/>
        <w:contextualSpacing/>
        <w:jc w:val="center"/>
        <w:rPr>
          <w:rFonts w:ascii="Times New Roman" w:hAnsi="Times New Roman" w:cs="Times New Roman"/>
          <w:b/>
          <w:b/>
          <w:sz w:val="26"/>
          <w:szCs w:val="26"/>
        </w:rPr>
      </w:pPr>
      <w:r>
        <w:rPr>
          <w:rFonts w:cs="Times New Roman" w:ascii="Times New Roman" w:hAnsi="Times New Roman"/>
          <w:b/>
          <w:sz w:val="26"/>
          <w:szCs w:val="26"/>
        </w:rPr>
        <w:t xml:space="preserve">ЗВІТ </w:t>
      </w:r>
    </w:p>
    <w:p>
      <w:pPr>
        <w:pStyle w:val="Normal"/>
        <w:spacing w:lineRule="atLeast" w:line="23" w:before="0" w:after="0"/>
        <w:contextualSpacing/>
        <w:jc w:val="center"/>
        <w:rPr>
          <w:rFonts w:ascii="Times New Roman" w:hAnsi="Times New Roman" w:cs="Times New Roman"/>
          <w:b/>
          <w:b/>
          <w:sz w:val="26"/>
          <w:szCs w:val="26"/>
        </w:rPr>
      </w:pPr>
      <w:r>
        <w:rPr>
          <w:rFonts w:cs="Times New Roman" w:ascii="Times New Roman" w:hAnsi="Times New Roman"/>
          <w:b/>
          <w:sz w:val="26"/>
          <w:szCs w:val="26"/>
        </w:rPr>
        <w:t>робочої групи</w:t>
      </w:r>
    </w:p>
    <w:p>
      <w:pPr>
        <w:pStyle w:val="Normal"/>
        <w:spacing w:lineRule="atLeast" w:line="23" w:before="0" w:after="0"/>
        <w:contextualSpacing/>
        <w:rPr>
          <w:rFonts w:ascii="Times New Roman" w:hAnsi="Times New Roman" w:cs="Times New Roman"/>
          <w:sz w:val="26"/>
          <w:szCs w:val="26"/>
        </w:rPr>
      </w:pPr>
      <w:r>
        <w:rPr>
          <w:rFonts w:cs="Times New Roman" w:ascii="Times New Roman" w:hAnsi="Times New Roman"/>
          <w:sz w:val="26"/>
          <w:szCs w:val="26"/>
        </w:rPr>
      </w:r>
    </w:p>
    <w:p>
      <w:pPr>
        <w:pStyle w:val="Normal"/>
        <w:spacing w:lineRule="atLeast" w:line="23" w:before="0" w:after="0"/>
        <w:ind w:firstLine="567"/>
        <w:contextualSpacing/>
        <w:jc w:val="both"/>
        <w:rPr>
          <w:rFonts w:ascii="Times New Roman" w:hAnsi="Times New Roman" w:cs="Times New Roman"/>
          <w:sz w:val="26"/>
          <w:szCs w:val="26"/>
        </w:rPr>
      </w:pPr>
      <w:r>
        <w:rPr>
          <w:rFonts w:cs="Times New Roman" w:ascii="Times New Roman" w:hAnsi="Times New Roman"/>
          <w:sz w:val="26"/>
          <w:szCs w:val="26"/>
        </w:rPr>
        <w:t>В рамках роботи робочої групи, створеної протокольним рішенням на засіданні постійної комісії Київської міської ради з питань освіти, науки, сім’ї, молоді та спорту від 06.07.2016 р. для перевірки господарської діяльності ДЮСШ № 17 за участі депутатів Київської міської ради Паладія С.В., Гончарова О.В. та Товмасяна В.Р., 26.07.2016 р. було проведено виїзне засідання робочої групи із залученням представників Департаменту освіти і науки, молоді та спорту виконавчого органу Київської міської ради (КМДА), представників Святошинської районної в м. Києві державної адміністрації та адміністрації ДЮСШ № 17. В рамках виїзного засідання робочої групи було проведено обстеження території та орендованих приміщень ДЮСШ № 17 за адресою: вул. Симиренка, 5-а, б, за результатами якого було виявлено численні порушення, в тому числі, у сфері господарювання та фінансової дисципліни, а саме:</w:t>
      </w:r>
    </w:p>
    <w:p>
      <w:pPr>
        <w:pStyle w:val="ListParagraph"/>
        <w:numPr>
          <w:ilvl w:val="0"/>
          <w:numId w:val="1"/>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В приміщенні ДЮСШ № 17, що розташоване за адресою: вул. Симиренка, 5-б, незаконно, без розроблення проектної документації та отримання відповідних дозволів, передбачених Постановою Кабінету Міністрів України № 466 від 13.04.2011 р. «Деякі питання виконання підготовчих та будівельних робіт», функціонує лазня.</w:t>
      </w:r>
    </w:p>
    <w:p>
      <w:pPr>
        <w:pStyle w:val="ListParagraph"/>
        <w:numPr>
          <w:ilvl w:val="0"/>
          <w:numId w:val="1"/>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Приміщення, що знаходяться на балансі ДЮСШ № 17, та розташовані за адресою:  вул. Симиренка, 5-а,б, використовуються невідомими орендарями, не за цільовим призначенням, без оформлення договірних відносин та з порушенням </w:t>
      </w:r>
      <w:r>
        <w:rPr>
          <w:rFonts w:eastAsia="Times New Roman" w:cs="Times New Roman" w:ascii="Times New Roman" w:hAnsi="Times New Roman"/>
          <w:sz w:val="26"/>
          <w:szCs w:val="26"/>
          <w:lang w:eastAsia="uk-UA"/>
        </w:rPr>
        <w:t>Положення про оренду майна територіальної громади міста Києва.</w:t>
      </w:r>
    </w:p>
    <w:p>
      <w:pPr>
        <w:pStyle w:val="ListParagraph"/>
        <w:numPr>
          <w:ilvl w:val="0"/>
          <w:numId w:val="1"/>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Доступ до частини приміщень, що знаходяться на балансі ДЮСШ № 17, адміністрація ДЮСШ № 17 не змогла надати, мотивуючи це відсутністю ключів та здійсненням самозахоплення приміщень невідомими особами. При цьому, жодних дій щодо відновлення доступу до приміщень, адміністрацією ДЮСШ № 17 здійснено не було.</w:t>
      </w:r>
    </w:p>
    <w:p>
      <w:pPr>
        <w:pStyle w:val="ListParagraph"/>
        <w:numPr>
          <w:ilvl w:val="0"/>
          <w:numId w:val="1"/>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На території ДЮСШ № 17 виявлено незаконно встановлену конструкцію - прибудову, без розроблення проектної документації, отримання відповідних погоджень та дозволів, в якій, на день проведення виїзного засідання, знаходилось майно невстановлених осіб.</w:t>
      </w:r>
    </w:p>
    <w:p>
      <w:pPr>
        <w:pStyle w:val="ListParagraph"/>
        <w:numPr>
          <w:ilvl w:val="0"/>
          <w:numId w:val="1"/>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Згідно Довідки ДЮСШ № 17, загальна площа приміщень за адресою: вул. Симиренка, 5-а, становить – 2603 м</w:t>
      </w:r>
      <w:r>
        <w:rPr>
          <w:rFonts w:cs="Times New Roman" w:ascii="Times New Roman" w:hAnsi="Times New Roman"/>
          <w:sz w:val="26"/>
          <w:szCs w:val="26"/>
          <w:vertAlign w:val="superscript"/>
        </w:rPr>
        <w:t>2</w:t>
      </w:r>
      <w:r>
        <w:rPr>
          <w:rFonts w:cs="Times New Roman" w:ascii="Times New Roman" w:hAnsi="Times New Roman"/>
          <w:sz w:val="26"/>
          <w:szCs w:val="26"/>
        </w:rPr>
        <w:t>, з них в оренду здається – 2453 м</w:t>
      </w:r>
      <w:r>
        <w:rPr>
          <w:rFonts w:cs="Times New Roman" w:ascii="Times New Roman" w:hAnsi="Times New Roman"/>
          <w:sz w:val="26"/>
          <w:szCs w:val="26"/>
          <w:vertAlign w:val="superscript"/>
        </w:rPr>
        <w:t xml:space="preserve">2; </w:t>
      </w:r>
      <w:r>
        <w:rPr>
          <w:rFonts w:cs="Times New Roman" w:ascii="Times New Roman" w:hAnsi="Times New Roman"/>
          <w:sz w:val="26"/>
          <w:szCs w:val="26"/>
        </w:rPr>
        <w:t>загальна площа приміщень за адресою вул. Симиренка, 5-б, становить – 2862 м</w:t>
      </w:r>
      <w:r>
        <w:rPr>
          <w:rFonts w:cs="Times New Roman" w:ascii="Times New Roman" w:hAnsi="Times New Roman"/>
          <w:sz w:val="26"/>
          <w:szCs w:val="26"/>
          <w:vertAlign w:val="superscript"/>
        </w:rPr>
        <w:t>2</w:t>
      </w:r>
      <w:r>
        <w:rPr>
          <w:rFonts w:cs="Times New Roman" w:ascii="Times New Roman" w:hAnsi="Times New Roman"/>
          <w:sz w:val="26"/>
          <w:szCs w:val="26"/>
        </w:rPr>
        <w:t>, з них в оренду здається – 2842 м</w:t>
      </w:r>
      <w:r>
        <w:rPr>
          <w:rFonts w:cs="Times New Roman" w:ascii="Times New Roman" w:hAnsi="Times New Roman"/>
          <w:sz w:val="26"/>
          <w:szCs w:val="26"/>
          <w:vertAlign w:val="superscript"/>
        </w:rPr>
        <w:t>2</w:t>
      </w:r>
      <w:r>
        <w:rPr>
          <w:rFonts w:cs="Times New Roman" w:ascii="Times New Roman" w:hAnsi="Times New Roman"/>
          <w:sz w:val="26"/>
          <w:szCs w:val="26"/>
        </w:rPr>
        <w:t>. При цьому, договори оренди були надані лише на площу – 2815 м</w:t>
      </w:r>
      <w:r>
        <w:rPr>
          <w:rFonts w:cs="Times New Roman" w:ascii="Times New Roman" w:hAnsi="Times New Roman"/>
          <w:sz w:val="26"/>
          <w:szCs w:val="26"/>
          <w:vertAlign w:val="superscript"/>
        </w:rPr>
        <w:t>2</w:t>
      </w:r>
      <w:r>
        <w:rPr>
          <w:rFonts w:cs="Times New Roman" w:ascii="Times New Roman" w:hAnsi="Times New Roman"/>
          <w:sz w:val="26"/>
          <w:szCs w:val="26"/>
        </w:rPr>
        <w:t>. Тобто, адміністрацією ДЮСШ № 17 та Святошинською районною в місті Києві державною адміністрацією не було надано копій договорів оренди приміщень ДЮСШ № 17 на загальну площу приміщень 2480 м</w:t>
      </w:r>
      <w:r>
        <w:rPr>
          <w:rFonts w:cs="Times New Roman" w:ascii="Times New Roman" w:hAnsi="Times New Roman"/>
          <w:sz w:val="26"/>
          <w:szCs w:val="26"/>
          <w:vertAlign w:val="superscript"/>
        </w:rPr>
        <w:t>2</w:t>
      </w:r>
      <w:r>
        <w:rPr>
          <w:rFonts w:cs="Times New Roman" w:ascii="Times New Roman" w:hAnsi="Times New Roman"/>
          <w:sz w:val="26"/>
          <w:szCs w:val="26"/>
        </w:rPr>
        <w:t>, що свідчить про неналежне інформаційне забезпечення робочої групи або приховування інформації.</w:t>
      </w:r>
    </w:p>
    <w:p>
      <w:pPr>
        <w:pStyle w:val="ListParagraph"/>
        <w:numPr>
          <w:ilvl w:val="0"/>
          <w:numId w:val="1"/>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Згідно умов укладених та чинних на день проведення виїзного засідання, договорів оренди, більшість приміщень, що знаходяться на балансі ДЮСШ № 17, надається в оренду погодинно (на дві-три години в день), хоча фактично використовується цілодобово, що було встановлено членами робочої групи. Таким чином, бюджет м. Києва недоотримує кошти за передачу таких приміщень в оренду.</w:t>
      </w:r>
    </w:p>
    <w:p>
      <w:pPr>
        <w:pStyle w:val="ListParagraph"/>
        <w:numPr>
          <w:ilvl w:val="0"/>
          <w:numId w:val="1"/>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Згідно договору оренди № 358/1 від 17.07.2015 р. приміщення ДЮСШ № 17 за адресою: вул. Симиренка, 5-а, 282 м 2, здається в оренду ГО «Монтессорі Україна» під приватний дитячий дошкільний навчальний заклад «Монтессорі», який відвідують більше 400 дітей, а навчання коштує 4 000 - 7 000 грн. (згідно інформації, розміщеної на сайті). При цьому, договір оренди укладено на погодинне використання приміщення (8 годин на тиждень), проте, фактично, воно використовується цілодобово (діти знаходяться цілий день, дитячий інвентар та меблі постійно знаходяться в орендованому приміщенні). Крім того, земельна ділянка, фактично передана в тимчасове користування для влаштування ігрового комплексу та басейну для дітей, що відвідують приватний дитячий дошкільний навчальний заклад «Монтессорі». Проте, земельна ділянка не надана суб’єкту господарювання в користування та використовується без правових підстав в порушення чинного законодавства, при цьому до бюджету м. Києва не надходять кошти за оренду земельної ділянки, яка знаходиться в комунальній власності.</w:t>
      </w:r>
    </w:p>
    <w:p>
      <w:pPr>
        <w:pStyle w:val="ListParagraph"/>
        <w:numPr>
          <w:ilvl w:val="0"/>
          <w:numId w:val="1"/>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Згідно договору оренди № 593 від 21.06.2016 р., який було пред’явлено орендарем під час виїзного засідання робочої групи, приміщення ДЮСШ № 17 за адресою: вул. Симиренка, 5-б, площею 223 м</w:t>
      </w:r>
      <w:r>
        <w:rPr>
          <w:rFonts w:cs="Times New Roman" w:ascii="Times New Roman" w:hAnsi="Times New Roman"/>
          <w:sz w:val="26"/>
          <w:szCs w:val="26"/>
          <w:vertAlign w:val="superscript"/>
        </w:rPr>
        <w:t>2</w:t>
      </w:r>
      <w:r>
        <w:rPr>
          <w:rFonts w:cs="Times New Roman" w:ascii="Times New Roman" w:hAnsi="Times New Roman"/>
          <w:sz w:val="26"/>
          <w:szCs w:val="26"/>
        </w:rPr>
        <w:t>, здається в оренду ТОВ «Альпіна УА», для розміщення офісу з діяльністю з підготовки спортсменів та іншої статутної діяльності. Проте, фактично, в орендованому приміщенні розташований магазин-склад та ведеться господарська діяльність з реалізації взуття.</w:t>
      </w:r>
    </w:p>
    <w:p>
      <w:pPr>
        <w:pStyle w:val="ListParagraph"/>
        <w:numPr>
          <w:ilvl w:val="0"/>
          <w:numId w:val="1"/>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Територія та приміщення ДЮСШ № 17, знаходяться в занедбаному стані, утримуються з порушенням санітарно-гігієнічних вимог, про що свідчить наявність грибка та плісняви, а також без дотримання Правил протипожежної безпеки в Україні.</w:t>
      </w:r>
    </w:p>
    <w:p>
      <w:pPr>
        <w:pStyle w:val="ListParagraph"/>
        <w:spacing w:lineRule="atLeast" w:line="23" w:before="0" w:after="0"/>
        <w:contextualSpacing/>
        <w:jc w:val="both"/>
        <w:rPr>
          <w:rFonts w:ascii="Times New Roman" w:hAnsi="Times New Roman" w:cs="Times New Roman"/>
          <w:sz w:val="26"/>
          <w:szCs w:val="26"/>
          <w:highlight w:val="cyan"/>
        </w:rPr>
      </w:pPr>
      <w:r>
        <w:rPr>
          <w:rFonts w:cs="Times New Roman" w:ascii="Times New Roman" w:hAnsi="Times New Roman"/>
          <w:sz w:val="26"/>
          <w:szCs w:val="26"/>
          <w:highlight w:val="cyan"/>
        </w:rPr>
      </w:r>
    </w:p>
    <w:p>
      <w:pPr>
        <w:pStyle w:val="Normal"/>
        <w:spacing w:lineRule="atLeast" w:line="23" w:before="0" w:after="0"/>
        <w:rPr>
          <w:rFonts w:ascii="Times New Roman" w:hAnsi="Times New Roman" w:cs="Times New Roman"/>
          <w:sz w:val="26"/>
          <w:szCs w:val="26"/>
        </w:rPr>
      </w:pPr>
      <w:r>
        <w:rPr>
          <w:rFonts w:cs="Times New Roman" w:ascii="Times New Roman" w:hAnsi="Times New Roman"/>
          <w:b/>
          <w:i/>
          <w:sz w:val="26"/>
          <w:szCs w:val="26"/>
        </w:rPr>
        <w:t>ГОЛОСУВАЛИ</w:t>
      </w:r>
      <w:r>
        <w:rPr>
          <w:rFonts w:cs="Times New Roman" w:ascii="Times New Roman" w:hAnsi="Times New Roman"/>
          <w:i/>
          <w:sz w:val="26"/>
          <w:szCs w:val="26"/>
        </w:rPr>
        <w:t>:</w:t>
      </w:r>
      <w:r>
        <w:rPr>
          <w:rFonts w:cs="Times New Roman" w:ascii="Times New Roman" w:hAnsi="Times New Roman"/>
          <w:sz w:val="26"/>
          <w:szCs w:val="26"/>
        </w:rPr>
        <w:t xml:space="preserve"> «за» - одноголосно; «проти» - немає; «утримались» - немає.</w:t>
      </w:r>
    </w:p>
    <w:p>
      <w:pPr>
        <w:pStyle w:val="Normal"/>
        <w:spacing w:lineRule="atLeast" w:line="23"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tLeast" w:line="23" w:before="0" w:after="0"/>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spacing w:lineRule="atLeast" w:line="23" w:before="0" w:after="0"/>
        <w:jc w:val="both"/>
        <w:rPr>
          <w:rFonts w:ascii="Times New Roman" w:hAnsi="Times New Roman" w:cs="Times New Roman"/>
          <w:b/>
          <w:b/>
          <w:i/>
          <w:i/>
          <w:sz w:val="26"/>
          <w:szCs w:val="26"/>
        </w:rPr>
      </w:pPr>
      <w:r>
        <w:rPr>
          <w:rFonts w:cs="Times New Roman" w:ascii="Times New Roman" w:hAnsi="Times New Roman"/>
          <w:b/>
          <w:i/>
          <w:sz w:val="26"/>
          <w:szCs w:val="26"/>
        </w:rPr>
        <w:t>ВИСТУПИВ:</w:t>
      </w:r>
    </w:p>
    <w:p>
      <w:pPr>
        <w:pStyle w:val="Normal"/>
        <w:spacing w:lineRule="atLeast" w:line="23" w:before="0" w:after="0"/>
        <w:jc w:val="both"/>
        <w:rPr>
          <w:rFonts w:ascii="Times New Roman" w:hAnsi="Times New Roman" w:cs="Times New Roman"/>
          <w:i/>
          <w:i/>
          <w:sz w:val="26"/>
          <w:szCs w:val="26"/>
        </w:rPr>
      </w:pPr>
      <w:r>
        <w:rPr>
          <w:rFonts w:cs="Times New Roman" w:ascii="Times New Roman" w:hAnsi="Times New Roman"/>
          <w:i/>
          <w:sz w:val="26"/>
          <w:szCs w:val="26"/>
        </w:rPr>
        <w:t>Паладій С.В., який запропонував надати Рекомендації робочої групи.</w:t>
      </w:r>
    </w:p>
    <w:p>
      <w:pPr>
        <w:pStyle w:val="ListParagraph"/>
        <w:spacing w:lineRule="atLeast" w:line="23"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ListParagraph"/>
        <w:spacing w:lineRule="atLeast" w:line="23" w:before="0" w:after="0"/>
        <w:ind w:left="0" w:firstLine="709"/>
        <w:contextualSpacing/>
        <w:jc w:val="center"/>
        <w:rPr>
          <w:rFonts w:ascii="Times New Roman" w:hAnsi="Times New Roman" w:cs="Times New Roman"/>
          <w:b/>
          <w:b/>
          <w:sz w:val="26"/>
          <w:szCs w:val="26"/>
        </w:rPr>
      </w:pPr>
      <w:r>
        <w:rPr>
          <w:rFonts w:cs="Times New Roman" w:ascii="Times New Roman" w:hAnsi="Times New Roman"/>
          <w:b/>
          <w:sz w:val="26"/>
          <w:szCs w:val="26"/>
        </w:rPr>
        <w:t xml:space="preserve">РЕКОМЕНДАЦІЇ </w:t>
      </w:r>
    </w:p>
    <w:p>
      <w:pPr>
        <w:pStyle w:val="ListParagraph"/>
        <w:spacing w:lineRule="atLeast" w:line="23" w:before="0" w:after="0"/>
        <w:ind w:left="0" w:firstLine="709"/>
        <w:contextualSpacing/>
        <w:jc w:val="center"/>
        <w:rPr>
          <w:rFonts w:ascii="Times New Roman" w:hAnsi="Times New Roman" w:cs="Times New Roman"/>
          <w:sz w:val="26"/>
          <w:szCs w:val="26"/>
        </w:rPr>
      </w:pPr>
      <w:r>
        <w:rPr>
          <w:rFonts w:cs="Times New Roman" w:ascii="Times New Roman" w:hAnsi="Times New Roman"/>
          <w:b/>
          <w:sz w:val="26"/>
          <w:szCs w:val="26"/>
        </w:rPr>
        <w:t xml:space="preserve">робочої групи </w:t>
      </w:r>
    </w:p>
    <w:p>
      <w:pPr>
        <w:pStyle w:val="ListParagraph"/>
        <w:spacing w:lineRule="atLeast" w:line="23"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2"/>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Звернутись до правоохоронних органів з метою розслідування дій директора ДЮСШ № 17 Мітюка А.І. щодо зловживання ним службовим становищем, невиконанням посадових обов’язків та, як наслідок, нанесення збитків бюджету м. Києва. У разі виявлення порушень чинного законодавства вжити заходи для притягнення посадової особи до відповідальності.</w:t>
      </w:r>
    </w:p>
    <w:p>
      <w:pPr>
        <w:pStyle w:val="ListParagraph"/>
        <w:numPr>
          <w:ilvl w:val="0"/>
          <w:numId w:val="2"/>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Звернутись до постійної комісії Київської міської ради з питань власності та Департаменту комунального майна м. Києва щодо створення робочої групи для перевірки цільового використання орендарями приміщень ДЮСШ № 17 та ефективності надання їх в тимчасове платне користування.</w:t>
      </w:r>
    </w:p>
    <w:p>
      <w:pPr>
        <w:pStyle w:val="ListParagraph"/>
        <w:numPr>
          <w:ilvl w:val="0"/>
          <w:numId w:val="2"/>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Звернутись до Департаменту земельних ресурсів КМДА щодо перевірки використання земельної ділянки, що проінвентаризована за ДЮСШ № 17 з метою недопущення порушень чинного земельного законодавства.</w:t>
      </w:r>
    </w:p>
    <w:p>
      <w:pPr>
        <w:pStyle w:val="ListParagraph"/>
        <w:numPr>
          <w:ilvl w:val="0"/>
          <w:numId w:val="2"/>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Рекомендувати Департаменту освіти і науки, молоді та спорту КМДА звільнити із займаної посади директора ДЮСШ № 17 Мітюка А.І. у зв’язку із зловживанням ним службовим становищем, невиконанням посадових обов’язків та порушення фінансової дисципліни.</w:t>
      </w:r>
    </w:p>
    <w:p>
      <w:pPr>
        <w:pStyle w:val="ListParagraph"/>
        <w:numPr>
          <w:ilvl w:val="0"/>
          <w:numId w:val="2"/>
        </w:numPr>
        <w:spacing w:lineRule="atLeast" w:line="23" w:before="0" w:after="0"/>
        <w:contextualSpacing/>
        <w:jc w:val="both"/>
        <w:rPr>
          <w:rFonts w:ascii="Times New Roman" w:hAnsi="Times New Roman" w:cs="Times New Roman"/>
          <w:sz w:val="26"/>
          <w:szCs w:val="26"/>
        </w:rPr>
      </w:pPr>
      <w:r>
        <w:rPr>
          <w:rFonts w:cs="Times New Roman" w:ascii="Times New Roman" w:hAnsi="Times New Roman"/>
          <w:sz w:val="26"/>
          <w:szCs w:val="26"/>
        </w:rPr>
        <w:t>Рекомендувати комісії звернутись до Департаменту освіти і науки, молоді та спорту КМДА щодо звільнення приміщень будівлі за адресою вул. Симиренка, 5-а від передачі їх у тимчасове платне користування орендарям, більшість з яких неефективно передається в оренду, та розглянути можливість створити дошкільний навчальний заклад комунальної форми власності з використанням наявної матеріально-технічної бази.</w:t>
      </w:r>
    </w:p>
    <w:p>
      <w:pPr>
        <w:pStyle w:val="ListParagraph"/>
        <w:spacing w:lineRule="atLeast" w:line="23"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tLeast" w:line="23" w:before="0" w:after="0"/>
        <w:rPr/>
      </w:pPr>
      <w:r>
        <w:rPr/>
      </w:r>
    </w:p>
    <w:p>
      <w:pPr>
        <w:pStyle w:val="Normal"/>
        <w:spacing w:lineRule="atLeast" w:line="23" w:before="0" w:after="0"/>
        <w:rPr>
          <w:rFonts w:ascii="Times New Roman" w:hAnsi="Times New Roman" w:cs="Times New Roman"/>
          <w:sz w:val="26"/>
          <w:szCs w:val="26"/>
        </w:rPr>
      </w:pPr>
      <w:r>
        <w:rPr>
          <w:rFonts w:cs="Times New Roman" w:ascii="Times New Roman" w:hAnsi="Times New Roman"/>
          <w:b/>
          <w:i/>
          <w:sz w:val="26"/>
          <w:szCs w:val="26"/>
        </w:rPr>
        <w:t>ГОЛОСУВАЛИ</w:t>
      </w:r>
      <w:r>
        <w:rPr>
          <w:rFonts w:cs="Times New Roman" w:ascii="Times New Roman" w:hAnsi="Times New Roman"/>
          <w:i/>
          <w:sz w:val="26"/>
          <w:szCs w:val="26"/>
        </w:rPr>
        <w:t>:</w:t>
      </w:r>
      <w:r>
        <w:rPr>
          <w:rFonts w:cs="Times New Roman" w:ascii="Times New Roman" w:hAnsi="Times New Roman"/>
          <w:sz w:val="26"/>
          <w:szCs w:val="26"/>
        </w:rPr>
        <w:t xml:space="preserve"> «за» - одноголосно; «проти» - немає; «утримались» - немає.</w:t>
      </w:r>
    </w:p>
    <w:p>
      <w:pPr>
        <w:pStyle w:val="Normal"/>
        <w:spacing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0"/>
        <w:rPr>
          <w:rFonts w:ascii="Times New Roman" w:hAnsi="Times New Roman" w:cs="Times New Roman"/>
          <w:b/>
          <w:b/>
          <w:sz w:val="26"/>
          <w:szCs w:val="26"/>
        </w:rPr>
      </w:pPr>
      <w:r>
        <w:rPr>
          <w:rFonts w:cs="Times New Roman" w:ascii="Times New Roman" w:hAnsi="Times New Roman"/>
          <w:b/>
          <w:sz w:val="26"/>
          <w:szCs w:val="26"/>
        </w:rPr>
        <w:t>Голова робочої групи:                                                                         С.В. Паладій</w:t>
      </w:r>
    </w:p>
    <w:p>
      <w:pPr>
        <w:pStyle w:val="Normal"/>
        <w:spacing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0"/>
        <w:rPr/>
      </w:pPr>
      <w:r>
        <w:rPr>
          <w:rFonts w:cs="Times New Roman" w:ascii="Times New Roman" w:hAnsi="Times New Roman"/>
          <w:b/>
          <w:sz w:val="26"/>
          <w:szCs w:val="26"/>
        </w:rPr>
        <w:t xml:space="preserve">Члени робочої групи:                                                                          В.Р. Товмасян                                                     </w:t>
      </w:r>
    </w:p>
    <w:sectPr>
      <w:footerReference w:type="default" r:id="rId2"/>
      <w:type w:val="nextPage"/>
      <w:pgSz w:w="11906" w:h="16838"/>
      <w:pgMar w:left="1417" w:right="850" w:header="0" w:top="850" w:footer="708"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6652283"/>
    </w:sdtPr>
    <w:sdtContent>
      <w:p>
        <w:pPr>
          <w:pStyle w:val="Style22"/>
          <w:jc w:val="right"/>
          <w:rPr/>
        </w:pPr>
        <w:r>
          <w:rPr>
            <w:rFonts w:cs="Times New Roman" w:ascii="Times New Roman" w:hAnsi="Times New Roman"/>
            <w:sz w:val="26"/>
            <w:szCs w:val="26"/>
          </w:rPr>
          <w:fldChar w:fldCharType="begin"/>
        </w:r>
        <w:r>
          <w:instrText> PAGE </w:instrText>
        </w:r>
        <w:r>
          <w:fldChar w:fldCharType="separate"/>
        </w:r>
        <w:r>
          <w:t>3</w:t>
        </w:r>
        <w:r>
          <w:fldChar w:fldCharType="end"/>
        </w:r>
      </w:p>
    </w:sdtContent>
  </w:sdt>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215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a65b46"/>
    <w:rPr>
      <w:lang w:val="uk-UA"/>
    </w:rPr>
  </w:style>
  <w:style w:type="character" w:styleId="Style15" w:customStyle="1">
    <w:name w:val="Нижний колонтитул Знак"/>
    <w:basedOn w:val="DefaultParagraphFont"/>
    <w:link w:val="a6"/>
    <w:uiPriority w:val="99"/>
    <w:qFormat/>
    <w:rsid w:val="00a65b46"/>
    <w:rPr>
      <w:lang w:val="uk-UA"/>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34"/>
    <w:qFormat/>
    <w:rsid w:val="00f705e0"/>
    <w:pPr>
      <w:spacing w:before="0" w:after="200"/>
      <w:ind w:left="720" w:hanging="0"/>
      <w:contextualSpacing/>
    </w:pPr>
    <w:rPr/>
  </w:style>
  <w:style w:type="paragraph" w:styleId="Style21">
    <w:name w:val="Верхний колонтитул"/>
    <w:basedOn w:val="Normal"/>
    <w:link w:val="a5"/>
    <w:uiPriority w:val="99"/>
    <w:unhideWhenUsed/>
    <w:rsid w:val="00a65b46"/>
    <w:pPr>
      <w:tabs>
        <w:tab w:val="center" w:pos="4819" w:leader="none"/>
        <w:tab w:val="right" w:pos="9639" w:leader="none"/>
      </w:tabs>
      <w:spacing w:lineRule="auto" w:line="240" w:before="0" w:after="0"/>
    </w:pPr>
    <w:rPr/>
  </w:style>
  <w:style w:type="paragraph" w:styleId="Style22">
    <w:name w:val="Нижний колонтитул"/>
    <w:basedOn w:val="Normal"/>
    <w:link w:val="a7"/>
    <w:uiPriority w:val="99"/>
    <w:unhideWhenUsed/>
    <w:rsid w:val="00a65b46"/>
    <w:pPr>
      <w:tabs>
        <w:tab w:val="center" w:pos="4819" w:leader="none"/>
        <w:tab w:val="right" w:pos="9639"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LibreOffice/5.0.4.2$Windows_x86 LibreOffice_project/2b9802c1994aa0b7dc6079e128979269cf95bc78</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2016-09-05T14:28:00Z</dcterms:created>
  <dc:creator>ASUS</dc:creator>
  <dc:language>ru-RU</dc:language>
  <cp:lastModifiedBy>user</cp:lastModifiedBy>
  <cp:lastPrinted>2016-09-21T07:59:00Z</cp:lastPrinted>
  <dcterms:modified xsi:type="dcterms:W3CDTF">2016-09-21T10:49:00Z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