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6F2" w:rsidRPr="003206F2" w:rsidRDefault="00A07E44" w:rsidP="003206F2">
      <w:pPr>
        <w:tabs>
          <w:tab w:val="left" w:pos="-1080"/>
          <w:tab w:val="left" w:pos="900"/>
          <w:tab w:val="left" w:pos="1080"/>
          <w:tab w:val="left" w:pos="1260"/>
          <w:tab w:val="left" w:pos="3420"/>
          <w:tab w:val="left" w:pos="6509"/>
        </w:tabs>
        <w:rPr>
          <w:rFonts w:ascii="Calibri" w:eastAsia="SimSun" w:hAnsi="Calibri" w:cs="Calibri"/>
          <w:b/>
          <w:kern w:val="1"/>
          <w:sz w:val="56"/>
          <w:szCs w:val="56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3206F2" w:rsidRPr="003206F2">
        <w:rPr>
          <w:rFonts w:ascii="Calibri" w:eastAsia="SimSun" w:hAnsi="Calibri" w:cs="Calibri"/>
          <w:noProof/>
          <w:kern w:val="1"/>
          <w:sz w:val="22"/>
          <w:szCs w:val="22"/>
        </w:rPr>
        <w:drawing>
          <wp:anchor distT="0" distB="0" distL="0" distR="0" simplePos="0" relativeHeight="251659264" behindDoc="1" locked="0" layoutInCell="1" hidden="0" allowOverlap="1" wp14:anchorId="076A0DDE" wp14:editId="0AA2AB49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410845" cy="58039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845" cy="580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206F2" w:rsidRPr="003206F2" w:rsidRDefault="003206F2" w:rsidP="003206F2">
      <w:pPr>
        <w:widowControl/>
        <w:tabs>
          <w:tab w:val="left" w:pos="900"/>
          <w:tab w:val="left" w:pos="1080"/>
          <w:tab w:val="left" w:pos="1260"/>
        </w:tabs>
        <w:suppressAutoHyphens/>
        <w:ind w:firstLine="850"/>
        <w:jc w:val="center"/>
        <w:rPr>
          <w:rFonts w:ascii="Calibri" w:eastAsia="SimSun" w:hAnsi="Calibri" w:cs="Calibri"/>
          <w:b/>
          <w:kern w:val="1"/>
          <w:lang w:eastAsia="zh-CN" w:bidi="hi-IN"/>
        </w:rPr>
      </w:pPr>
    </w:p>
    <w:p w:rsidR="003206F2" w:rsidRPr="003206F2" w:rsidRDefault="003206F2" w:rsidP="003206F2">
      <w:pPr>
        <w:tabs>
          <w:tab w:val="left" w:pos="900"/>
          <w:tab w:val="left" w:pos="1080"/>
          <w:tab w:val="left" w:pos="1260"/>
        </w:tabs>
        <w:suppressAutoHyphens/>
        <w:jc w:val="center"/>
        <w:rPr>
          <w:b/>
          <w:kern w:val="1"/>
          <w:sz w:val="56"/>
          <w:szCs w:val="56"/>
          <w:lang w:eastAsia="zh-CN" w:bidi="hi-IN"/>
        </w:rPr>
      </w:pPr>
      <w:r w:rsidRPr="003206F2">
        <w:rPr>
          <w:b/>
          <w:kern w:val="1"/>
          <w:sz w:val="56"/>
          <w:szCs w:val="56"/>
          <w:lang w:eastAsia="zh-CN" w:bidi="hi-IN"/>
        </w:rPr>
        <w:t>КИЇВСЬКА МІСЬКА РАДА</w:t>
      </w:r>
    </w:p>
    <w:p w:rsidR="003206F2" w:rsidRPr="003206F2" w:rsidRDefault="003206F2" w:rsidP="003206F2">
      <w:pPr>
        <w:keepNext/>
        <w:keepLines/>
        <w:widowControl/>
        <w:pBdr>
          <w:top w:val="none" w:sz="0" w:space="0" w:color="000000"/>
          <w:left w:val="none" w:sz="0" w:space="0" w:color="000000"/>
          <w:bottom w:val="single" w:sz="40" w:space="6" w:color="000001"/>
          <w:right w:val="none" w:sz="0" w:space="0" w:color="000000"/>
        </w:pBdr>
        <w:tabs>
          <w:tab w:val="left" w:pos="900"/>
          <w:tab w:val="left" w:pos="1080"/>
          <w:tab w:val="left" w:pos="1260"/>
        </w:tabs>
        <w:suppressAutoHyphens/>
        <w:jc w:val="center"/>
        <w:rPr>
          <w:rFonts w:eastAsia="Times New Roman" w:cs="Mangal"/>
          <w:b/>
          <w:kern w:val="1"/>
          <w:lang w:eastAsia="zh-CN" w:bidi="hi-IN"/>
        </w:rPr>
      </w:pPr>
      <w:r w:rsidRPr="003206F2">
        <w:rPr>
          <w:rFonts w:eastAsia="Times New Roman" w:cs="Mangal"/>
          <w:b/>
          <w:kern w:val="1"/>
          <w:lang w:eastAsia="zh-CN" w:bidi="hi-IN"/>
        </w:rPr>
        <w:t>ІІ СЕСІЯ ІХ СКЛИКАННЯ</w:t>
      </w:r>
    </w:p>
    <w:p w:rsidR="003206F2" w:rsidRPr="003206F2" w:rsidRDefault="003206F2" w:rsidP="003206F2">
      <w:pPr>
        <w:widowControl/>
        <w:tabs>
          <w:tab w:val="left" w:pos="900"/>
          <w:tab w:val="left" w:pos="1080"/>
          <w:tab w:val="left" w:pos="1260"/>
          <w:tab w:val="left" w:pos="5387"/>
        </w:tabs>
        <w:suppressAutoHyphens/>
        <w:ind w:firstLine="850"/>
        <w:rPr>
          <w:rFonts w:ascii="Calibri" w:eastAsia="SimSun" w:hAnsi="Calibri" w:cs="Calibri"/>
          <w:i/>
          <w:kern w:val="1"/>
          <w:sz w:val="10"/>
          <w:szCs w:val="10"/>
          <w:lang w:eastAsia="zh-CN" w:bidi="hi-IN"/>
        </w:rPr>
      </w:pPr>
    </w:p>
    <w:p w:rsidR="003206F2" w:rsidRPr="003206F2" w:rsidRDefault="003206F2" w:rsidP="003206F2">
      <w:pPr>
        <w:widowControl/>
        <w:tabs>
          <w:tab w:val="left" w:pos="900"/>
          <w:tab w:val="left" w:pos="1080"/>
          <w:tab w:val="left" w:pos="1260"/>
        </w:tabs>
        <w:suppressAutoHyphens/>
        <w:jc w:val="center"/>
        <w:rPr>
          <w:rFonts w:ascii="Calibri" w:hAnsi="Calibri"/>
          <w:b/>
          <w:kern w:val="1"/>
          <w:sz w:val="44"/>
          <w:szCs w:val="44"/>
          <w:lang w:eastAsia="zh-CN" w:bidi="hi-IN"/>
        </w:rPr>
      </w:pPr>
      <w:r w:rsidRPr="003206F2">
        <w:rPr>
          <w:b/>
          <w:kern w:val="1"/>
          <w:sz w:val="44"/>
          <w:szCs w:val="44"/>
          <w:lang w:eastAsia="zh-CN" w:bidi="hi-IN"/>
        </w:rPr>
        <w:t>РІШЕННЯ</w:t>
      </w:r>
    </w:p>
    <w:p w:rsidR="003206F2" w:rsidRPr="003206F2" w:rsidRDefault="003206F2" w:rsidP="003206F2">
      <w:pPr>
        <w:widowControl/>
        <w:tabs>
          <w:tab w:val="left" w:pos="900"/>
          <w:tab w:val="left" w:pos="1080"/>
          <w:tab w:val="left" w:pos="1260"/>
        </w:tabs>
        <w:suppressAutoHyphens/>
        <w:jc w:val="center"/>
        <w:rPr>
          <w:rFonts w:ascii="Calibri" w:hAnsi="Calibri"/>
          <w:b/>
          <w:kern w:val="1"/>
          <w:sz w:val="44"/>
          <w:szCs w:val="44"/>
          <w:lang w:eastAsia="zh-CN" w:bidi="hi-IN"/>
        </w:rPr>
      </w:pPr>
    </w:p>
    <w:p w:rsidR="003206F2" w:rsidRPr="003206F2" w:rsidRDefault="003206F2" w:rsidP="003206F2">
      <w:pPr>
        <w:widowControl/>
        <w:tabs>
          <w:tab w:val="left" w:pos="900"/>
          <w:tab w:val="left" w:pos="1080"/>
        </w:tabs>
        <w:suppressAutoHyphens/>
        <w:rPr>
          <w:rFonts w:eastAsia="Times New Roman" w:cs="Mangal"/>
          <w:b/>
          <w:kern w:val="1"/>
          <w:lang w:eastAsia="zh-CN" w:bidi="hi-IN"/>
        </w:rPr>
      </w:pPr>
      <w:r w:rsidRPr="003206F2">
        <w:rPr>
          <w:rFonts w:eastAsia="Times New Roman" w:cs="Mangal"/>
          <w:kern w:val="1"/>
          <w:sz w:val="22"/>
          <w:szCs w:val="22"/>
          <w:lang w:eastAsia="zh-CN" w:bidi="hi-IN"/>
        </w:rPr>
        <w:t>_______________№_____________</w:t>
      </w:r>
    </w:p>
    <w:p w:rsidR="0076217D" w:rsidRDefault="00236B5D" w:rsidP="003206F2">
      <w:pPr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07E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206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206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206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206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A07E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Проєкт</w:t>
      </w:r>
      <w:proofErr w:type="spellEnd"/>
    </w:p>
    <w:p w:rsidR="00236B5D" w:rsidRDefault="00236B5D">
      <w:pPr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527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79"/>
      </w:tblGrid>
      <w:tr w:rsidR="0076217D">
        <w:trPr>
          <w:trHeight w:val="727"/>
        </w:trPr>
        <w:tc>
          <w:tcPr>
            <w:tcW w:w="5279" w:type="dxa"/>
          </w:tcPr>
          <w:p w:rsidR="0076217D" w:rsidRDefault="00A07E44">
            <w:pPr>
              <w:ind w:left="-108"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Про внесення змін до таблиці № 1 до додатка 5 до рішення Київської міської ради від 23.06.2011 № 242/5629 «Про встановлення місцевих податків і зборів у м. Києві» (в редакції рішення Київської міської ради від 31.08.2021 № 2185/2226) </w:t>
            </w:r>
          </w:p>
        </w:tc>
      </w:tr>
    </w:tbl>
    <w:p w:rsidR="0076217D" w:rsidRDefault="0076217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17D" w:rsidRDefault="0076217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17D" w:rsidRDefault="00A07E4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Податкового кодексу України та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враховуючи звернення мешканців Оболонського району міста Києва, Київська міська рада</w:t>
      </w:r>
    </w:p>
    <w:p w:rsidR="0076217D" w:rsidRDefault="0076217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76217D" w:rsidRDefault="00A07E4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bookmarkStart w:id="0" w:name="gjdgxs" w:colFirst="0" w:colLast="0"/>
      <w:bookmarkEnd w:id="0"/>
    </w:p>
    <w:p w:rsidR="0076217D" w:rsidRDefault="0076217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17D" w:rsidRDefault="00A07E4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таблиці № 1 до додатка 5 до рішення Київської міської ради від 23.06.2011 № 242/5629 «Про встановлення місцевих податків і зборів у              м. Києві» (в редакції рішення Київської міської ради від 31.08.2021 № 2185/2226) такі зміни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</w:t>
      </w:r>
    </w:p>
    <w:p w:rsidR="0076217D" w:rsidRDefault="00A07E4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Пункт 68 позиції «Оболонський р-н» виключити.</w:t>
      </w:r>
    </w:p>
    <w:p w:rsidR="0076217D" w:rsidRDefault="00A07E4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2. Це рішення набирає чинності та застосовується у встановленому законодавством порядку.</w:t>
      </w:r>
    </w:p>
    <w:p w:rsidR="0076217D" w:rsidRDefault="00A07E4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3. Оприлюднити це рішення в установленому порядку.</w:t>
      </w:r>
    </w:p>
    <w:p w:rsidR="0076217D" w:rsidRDefault="00A07E4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4. Контроль за виконанням цього рішення покласти на постійну комісію Київської міської ради з питань бюджету та соціально-економічного розвитку.</w:t>
      </w:r>
    </w:p>
    <w:p w:rsidR="0076217D" w:rsidRDefault="0076217D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17D" w:rsidRDefault="0076217D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17D" w:rsidRDefault="00A07E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Київський міський голова                                                              Віталій КЛИЧКО</w:t>
      </w:r>
    </w:p>
    <w:p w:rsidR="0076217D" w:rsidRDefault="0076217D">
      <w:pPr>
        <w:spacing w:before="280" w:after="28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17D" w:rsidRDefault="0076217D">
      <w:pPr>
        <w:widowControl/>
        <w:ind w:right="73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17D" w:rsidRDefault="0076217D">
      <w:pPr>
        <w:widowControl/>
        <w:ind w:right="73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17D" w:rsidRDefault="0076217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76217D" w:rsidRPr="00236B5D" w:rsidRDefault="00A07E4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 w:rsidRPr="00236B5D">
        <w:rPr>
          <w:b/>
          <w:color w:val="000000"/>
          <w:sz w:val="28"/>
          <w:szCs w:val="28"/>
        </w:rPr>
        <w:lastRenderedPageBreak/>
        <w:t xml:space="preserve">ПОДАННЯ: </w:t>
      </w:r>
    </w:p>
    <w:p w:rsidR="0076217D" w:rsidRDefault="0076217D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  <w:tab w:val="left" w:pos="7797"/>
        </w:tabs>
        <w:ind w:right="560"/>
        <w:jc w:val="both"/>
        <w:rPr>
          <w:color w:val="000000"/>
          <w:sz w:val="28"/>
          <w:szCs w:val="28"/>
        </w:rPr>
      </w:pPr>
    </w:p>
    <w:p w:rsidR="0076217D" w:rsidRDefault="0076217D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797"/>
        </w:tabs>
        <w:ind w:right="560"/>
        <w:jc w:val="both"/>
        <w:rPr>
          <w:color w:val="000000"/>
          <w:sz w:val="10"/>
          <w:szCs w:val="10"/>
        </w:rPr>
      </w:pPr>
    </w:p>
    <w:p w:rsidR="0076217D" w:rsidRPr="00236B5D" w:rsidRDefault="00236B5D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797"/>
        </w:tabs>
        <w:ind w:right="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Депутат Київської міської ради                                  </w:t>
      </w:r>
      <w:r w:rsidR="00A07E44" w:rsidRPr="00236B5D">
        <w:rPr>
          <w:color w:val="000000"/>
          <w:sz w:val="28"/>
          <w:szCs w:val="28"/>
        </w:rPr>
        <w:t>Владислав ТРУБІЦИН</w:t>
      </w:r>
    </w:p>
    <w:p w:rsidR="0076217D" w:rsidRDefault="0076217D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797"/>
        </w:tabs>
        <w:ind w:right="560"/>
        <w:jc w:val="both"/>
        <w:rPr>
          <w:color w:val="000000"/>
        </w:rPr>
      </w:pPr>
    </w:p>
    <w:p w:rsidR="0076217D" w:rsidRDefault="0076217D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797"/>
        </w:tabs>
        <w:ind w:right="560"/>
        <w:jc w:val="both"/>
        <w:rPr>
          <w:color w:val="000000"/>
        </w:rPr>
      </w:pPr>
    </w:p>
    <w:p w:rsidR="0076217D" w:rsidRDefault="0076217D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797"/>
        </w:tabs>
        <w:ind w:right="560"/>
        <w:jc w:val="both"/>
        <w:rPr>
          <w:color w:val="000000"/>
        </w:rPr>
      </w:pPr>
    </w:p>
    <w:p w:rsidR="0076217D" w:rsidRDefault="0076217D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797"/>
        </w:tabs>
        <w:ind w:right="560"/>
        <w:jc w:val="both"/>
        <w:rPr>
          <w:color w:val="000000"/>
        </w:rPr>
      </w:pPr>
    </w:p>
    <w:p w:rsidR="0076217D" w:rsidRPr="00236B5D" w:rsidRDefault="0076217D">
      <w:pPr>
        <w:widowControl/>
        <w:ind w:right="26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17D" w:rsidRPr="00236B5D" w:rsidRDefault="00A07E4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 w:rsidRPr="00236B5D">
        <w:rPr>
          <w:b/>
          <w:color w:val="000000"/>
          <w:sz w:val="28"/>
          <w:szCs w:val="28"/>
        </w:rPr>
        <w:t>ПОГОДЖЕНО:</w:t>
      </w:r>
    </w:p>
    <w:p w:rsidR="0076217D" w:rsidRPr="00236B5D" w:rsidRDefault="0076217D" w:rsidP="00DA736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76217D" w:rsidRPr="00236B5D" w:rsidRDefault="00A07E44" w:rsidP="00DA7368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right="5528"/>
        <w:jc w:val="both"/>
        <w:rPr>
          <w:color w:val="000000"/>
          <w:sz w:val="28"/>
          <w:szCs w:val="28"/>
        </w:rPr>
      </w:pPr>
      <w:r w:rsidRPr="00236B5D">
        <w:rPr>
          <w:color w:val="000000"/>
          <w:sz w:val="28"/>
          <w:szCs w:val="28"/>
        </w:rPr>
        <w:t>Постійна комісія Київської міської ради з питань бюджету та соціально-економічного розвитку</w:t>
      </w:r>
    </w:p>
    <w:p w:rsidR="0076217D" w:rsidRPr="00236B5D" w:rsidRDefault="0076217D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right="4394"/>
        <w:jc w:val="both"/>
        <w:rPr>
          <w:color w:val="000000"/>
          <w:sz w:val="28"/>
          <w:szCs w:val="28"/>
        </w:rPr>
      </w:pPr>
    </w:p>
    <w:p w:rsidR="0076217D" w:rsidRPr="00236B5D" w:rsidRDefault="00A07E44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jc w:val="both"/>
        <w:rPr>
          <w:color w:val="000000"/>
          <w:sz w:val="28"/>
          <w:szCs w:val="28"/>
        </w:rPr>
      </w:pPr>
      <w:r w:rsidRPr="00236B5D">
        <w:rPr>
          <w:color w:val="000000"/>
          <w:sz w:val="28"/>
          <w:szCs w:val="28"/>
        </w:rPr>
        <w:t xml:space="preserve">Голова </w:t>
      </w:r>
      <w:r w:rsidRPr="00236B5D">
        <w:rPr>
          <w:color w:val="000000"/>
          <w:sz w:val="28"/>
          <w:szCs w:val="28"/>
        </w:rPr>
        <w:tab/>
        <w:t>Андрій ВІТРЕНКО</w:t>
      </w:r>
    </w:p>
    <w:p w:rsidR="0076217D" w:rsidRPr="00236B5D" w:rsidRDefault="0076217D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jc w:val="both"/>
        <w:rPr>
          <w:color w:val="000000"/>
          <w:sz w:val="28"/>
          <w:szCs w:val="28"/>
        </w:rPr>
      </w:pPr>
    </w:p>
    <w:p w:rsidR="0076217D" w:rsidRPr="00236B5D" w:rsidRDefault="0076217D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jc w:val="both"/>
        <w:rPr>
          <w:color w:val="000000"/>
          <w:sz w:val="28"/>
          <w:szCs w:val="28"/>
        </w:rPr>
      </w:pPr>
    </w:p>
    <w:p w:rsidR="0076217D" w:rsidRPr="00236B5D" w:rsidRDefault="00A07E44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jc w:val="both"/>
        <w:rPr>
          <w:color w:val="000000"/>
          <w:sz w:val="28"/>
          <w:szCs w:val="28"/>
        </w:rPr>
      </w:pPr>
      <w:r w:rsidRPr="00236B5D">
        <w:rPr>
          <w:color w:val="000000"/>
          <w:sz w:val="28"/>
          <w:szCs w:val="28"/>
        </w:rPr>
        <w:t xml:space="preserve">Секретар </w:t>
      </w:r>
      <w:r w:rsidRPr="00236B5D">
        <w:rPr>
          <w:color w:val="000000"/>
          <w:sz w:val="28"/>
          <w:szCs w:val="28"/>
        </w:rPr>
        <w:tab/>
        <w:t>Владислав АНДРОНОВ</w:t>
      </w:r>
    </w:p>
    <w:p w:rsidR="0076217D" w:rsidRPr="00236B5D" w:rsidRDefault="007621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76217D" w:rsidRPr="00236B5D" w:rsidRDefault="007621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76217D" w:rsidRPr="00236B5D" w:rsidRDefault="00A07E44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right="5528"/>
        <w:jc w:val="both"/>
        <w:rPr>
          <w:color w:val="000000"/>
          <w:sz w:val="28"/>
          <w:szCs w:val="28"/>
        </w:rPr>
      </w:pPr>
      <w:r w:rsidRPr="00236B5D">
        <w:rPr>
          <w:color w:val="000000"/>
          <w:sz w:val="28"/>
          <w:szCs w:val="28"/>
        </w:rPr>
        <w:t>Постійна комісія Київської міської ради</w:t>
      </w:r>
      <w:r w:rsidR="00DA7368">
        <w:rPr>
          <w:color w:val="000000"/>
          <w:sz w:val="28"/>
          <w:szCs w:val="28"/>
        </w:rPr>
        <w:t xml:space="preserve">  </w:t>
      </w:r>
      <w:r w:rsidRPr="00236B5D">
        <w:rPr>
          <w:color w:val="000000"/>
          <w:sz w:val="28"/>
          <w:szCs w:val="28"/>
        </w:rPr>
        <w:t xml:space="preserve"> з питань транспорту, зв’язку та реклами </w:t>
      </w:r>
    </w:p>
    <w:p w:rsidR="0076217D" w:rsidRPr="00236B5D" w:rsidRDefault="0076217D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right="4394"/>
        <w:jc w:val="both"/>
        <w:rPr>
          <w:color w:val="000000"/>
          <w:sz w:val="28"/>
          <w:szCs w:val="28"/>
        </w:rPr>
      </w:pPr>
    </w:p>
    <w:p w:rsidR="0076217D" w:rsidRPr="00236B5D" w:rsidRDefault="00A07E44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jc w:val="both"/>
        <w:rPr>
          <w:color w:val="000000"/>
          <w:sz w:val="28"/>
          <w:szCs w:val="28"/>
        </w:rPr>
      </w:pPr>
      <w:r w:rsidRPr="00236B5D">
        <w:rPr>
          <w:color w:val="000000"/>
          <w:sz w:val="28"/>
          <w:szCs w:val="28"/>
        </w:rPr>
        <w:t xml:space="preserve">Голова </w:t>
      </w:r>
      <w:r w:rsidRPr="00236B5D">
        <w:rPr>
          <w:color w:val="000000"/>
          <w:sz w:val="28"/>
          <w:szCs w:val="28"/>
        </w:rPr>
        <w:tab/>
        <w:t>Олексій ОКОПНИЙ</w:t>
      </w:r>
    </w:p>
    <w:p w:rsidR="0076217D" w:rsidRPr="00236B5D" w:rsidRDefault="0076217D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jc w:val="both"/>
        <w:rPr>
          <w:color w:val="000000"/>
          <w:sz w:val="28"/>
          <w:szCs w:val="28"/>
        </w:rPr>
      </w:pPr>
    </w:p>
    <w:p w:rsidR="0076217D" w:rsidRPr="00236B5D" w:rsidRDefault="00A07E44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jc w:val="both"/>
        <w:rPr>
          <w:color w:val="000000"/>
          <w:sz w:val="28"/>
          <w:szCs w:val="28"/>
        </w:rPr>
      </w:pPr>
      <w:r w:rsidRPr="00236B5D">
        <w:rPr>
          <w:color w:val="000000"/>
          <w:sz w:val="28"/>
          <w:szCs w:val="28"/>
        </w:rPr>
        <w:t xml:space="preserve">Секретар </w:t>
      </w:r>
      <w:r w:rsidRPr="00236B5D">
        <w:rPr>
          <w:color w:val="000000"/>
          <w:sz w:val="28"/>
          <w:szCs w:val="28"/>
        </w:rPr>
        <w:tab/>
        <w:t>Андрій ЗАДЕРЕЙКО</w:t>
      </w:r>
    </w:p>
    <w:p w:rsidR="0076217D" w:rsidRPr="00236B5D" w:rsidRDefault="007621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76217D" w:rsidRPr="00236B5D" w:rsidRDefault="007621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76217D" w:rsidRPr="00236B5D" w:rsidRDefault="007621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76217D" w:rsidRPr="00236B5D" w:rsidRDefault="00A07E44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jc w:val="both"/>
        <w:rPr>
          <w:color w:val="000000"/>
          <w:sz w:val="28"/>
          <w:szCs w:val="28"/>
        </w:rPr>
      </w:pPr>
      <w:r w:rsidRPr="00236B5D">
        <w:rPr>
          <w:color w:val="000000"/>
          <w:sz w:val="28"/>
          <w:szCs w:val="28"/>
        </w:rPr>
        <w:t>Виконувач обов’язків начальника</w:t>
      </w:r>
    </w:p>
    <w:p w:rsidR="0076217D" w:rsidRPr="00236B5D" w:rsidRDefault="00A07E44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jc w:val="both"/>
        <w:rPr>
          <w:color w:val="000000"/>
          <w:sz w:val="28"/>
          <w:szCs w:val="28"/>
        </w:rPr>
      </w:pPr>
      <w:r w:rsidRPr="00236B5D">
        <w:rPr>
          <w:color w:val="000000"/>
          <w:sz w:val="28"/>
          <w:szCs w:val="28"/>
        </w:rPr>
        <w:t>Управління правового забезпечення</w:t>
      </w:r>
    </w:p>
    <w:p w:rsidR="0076217D" w:rsidRPr="00236B5D" w:rsidRDefault="00A07E44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jc w:val="both"/>
        <w:rPr>
          <w:color w:val="000000"/>
          <w:sz w:val="28"/>
          <w:szCs w:val="28"/>
        </w:rPr>
      </w:pPr>
      <w:r w:rsidRPr="00236B5D">
        <w:rPr>
          <w:color w:val="000000"/>
          <w:sz w:val="28"/>
          <w:szCs w:val="28"/>
        </w:rPr>
        <w:t>ді</w:t>
      </w:r>
      <w:r w:rsidR="00236B5D">
        <w:rPr>
          <w:color w:val="000000"/>
          <w:sz w:val="28"/>
          <w:szCs w:val="28"/>
        </w:rPr>
        <w:t xml:space="preserve">яльності Київської міської ради                            </w:t>
      </w:r>
      <w:r w:rsidRPr="00236B5D">
        <w:rPr>
          <w:color w:val="000000"/>
          <w:sz w:val="28"/>
          <w:szCs w:val="28"/>
        </w:rPr>
        <w:t>Валентина ПОЛОЖИШНИК</w:t>
      </w:r>
    </w:p>
    <w:p w:rsidR="0076217D" w:rsidRPr="00236B5D" w:rsidRDefault="00A07E44">
      <w:pPr>
        <w:widowControl/>
        <w:ind w:right="3543"/>
        <w:rPr>
          <w:rFonts w:ascii="Arial" w:eastAsia="Arial" w:hAnsi="Arial" w:cs="Arial"/>
          <w:color w:val="000000"/>
          <w:sz w:val="28"/>
          <w:szCs w:val="28"/>
        </w:rPr>
      </w:pPr>
      <w:r w:rsidRPr="00236B5D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76217D" w:rsidRPr="00236B5D" w:rsidRDefault="0076217D">
      <w:pPr>
        <w:rPr>
          <w:rFonts w:ascii="Arial" w:eastAsia="Arial" w:hAnsi="Arial" w:cs="Arial"/>
          <w:color w:val="000000"/>
          <w:sz w:val="28"/>
          <w:szCs w:val="28"/>
        </w:rPr>
      </w:pPr>
    </w:p>
    <w:p w:rsidR="0076217D" w:rsidRPr="00236B5D" w:rsidRDefault="0076217D">
      <w:pPr>
        <w:rPr>
          <w:rFonts w:ascii="Arial" w:eastAsia="Arial" w:hAnsi="Arial" w:cs="Arial"/>
          <w:color w:val="000000"/>
          <w:sz w:val="28"/>
          <w:szCs w:val="28"/>
        </w:rPr>
      </w:pPr>
    </w:p>
    <w:p w:rsidR="0076217D" w:rsidRPr="00236B5D" w:rsidRDefault="0076217D">
      <w:pPr>
        <w:rPr>
          <w:rFonts w:ascii="Arial" w:eastAsia="Arial" w:hAnsi="Arial" w:cs="Arial"/>
          <w:color w:val="000000"/>
          <w:sz w:val="28"/>
          <w:szCs w:val="28"/>
        </w:rPr>
      </w:pPr>
    </w:p>
    <w:p w:rsidR="0076217D" w:rsidRDefault="0076217D">
      <w:pPr>
        <w:rPr>
          <w:rFonts w:ascii="Arial" w:eastAsia="Arial" w:hAnsi="Arial" w:cs="Arial"/>
          <w:color w:val="000000"/>
          <w:sz w:val="28"/>
          <w:szCs w:val="28"/>
        </w:rPr>
      </w:pPr>
    </w:p>
    <w:p w:rsidR="00236B5D" w:rsidRDefault="00236B5D">
      <w:pPr>
        <w:rPr>
          <w:rFonts w:ascii="Arial" w:eastAsia="Arial" w:hAnsi="Arial" w:cs="Arial"/>
          <w:color w:val="000000"/>
          <w:sz w:val="28"/>
          <w:szCs w:val="28"/>
        </w:rPr>
      </w:pPr>
    </w:p>
    <w:p w:rsidR="00236B5D" w:rsidRDefault="00236B5D">
      <w:pPr>
        <w:rPr>
          <w:rFonts w:ascii="Arial" w:eastAsia="Arial" w:hAnsi="Arial" w:cs="Arial"/>
          <w:color w:val="000000"/>
          <w:sz w:val="28"/>
          <w:szCs w:val="28"/>
        </w:rPr>
      </w:pPr>
    </w:p>
    <w:p w:rsidR="00236B5D" w:rsidRDefault="00236B5D">
      <w:pPr>
        <w:rPr>
          <w:rFonts w:ascii="Arial" w:eastAsia="Arial" w:hAnsi="Arial" w:cs="Arial"/>
          <w:color w:val="000000"/>
          <w:sz w:val="28"/>
          <w:szCs w:val="28"/>
        </w:rPr>
      </w:pPr>
    </w:p>
    <w:p w:rsidR="00236B5D" w:rsidRDefault="00236B5D">
      <w:pPr>
        <w:rPr>
          <w:rFonts w:ascii="Arial" w:eastAsia="Arial" w:hAnsi="Arial" w:cs="Arial"/>
          <w:color w:val="000000"/>
          <w:sz w:val="28"/>
          <w:szCs w:val="28"/>
        </w:rPr>
      </w:pPr>
    </w:p>
    <w:p w:rsidR="00DA7368" w:rsidRDefault="00DA7368">
      <w:pPr>
        <w:rPr>
          <w:rFonts w:ascii="Arial" w:eastAsia="Arial" w:hAnsi="Arial" w:cs="Arial"/>
          <w:color w:val="000000"/>
          <w:sz w:val="28"/>
          <w:szCs w:val="28"/>
        </w:rPr>
      </w:pPr>
    </w:p>
    <w:p w:rsidR="00236B5D" w:rsidRPr="00236B5D" w:rsidRDefault="00236B5D">
      <w:pPr>
        <w:rPr>
          <w:rFonts w:ascii="Arial" w:eastAsia="Arial" w:hAnsi="Arial" w:cs="Arial"/>
          <w:color w:val="000000"/>
          <w:sz w:val="28"/>
          <w:szCs w:val="28"/>
        </w:rPr>
      </w:pPr>
    </w:p>
    <w:p w:rsidR="0076217D" w:rsidRDefault="0076217D">
      <w:pPr>
        <w:rPr>
          <w:rFonts w:ascii="Arial" w:eastAsia="Arial" w:hAnsi="Arial" w:cs="Arial"/>
          <w:color w:val="000000"/>
          <w:sz w:val="22"/>
          <w:szCs w:val="22"/>
        </w:rPr>
      </w:pPr>
    </w:p>
    <w:p w:rsidR="0076217D" w:rsidRDefault="0076217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217D" w:rsidRDefault="00A07E4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ПОЯСНЮВАЛЬНА ЗАПИСКА</w:t>
      </w:r>
    </w:p>
    <w:p w:rsidR="00236B5D" w:rsidRDefault="00A07E4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рішення Київської міської ради</w:t>
      </w:r>
    </w:p>
    <w:p w:rsidR="00236B5D" w:rsidRDefault="00A07E4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«Про внесення змін до таблиці № 1 до додатка 5 до рішення Київської міської ради від 23.06.2011 № 242/5629 «Про встановлення місцевих податків і зборів у м. Києві» (в редакції рішення Київської міської ради </w:t>
      </w:r>
    </w:p>
    <w:p w:rsidR="0076217D" w:rsidRDefault="00A07E4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31.08.2021 № 2185/2226)» </w:t>
      </w:r>
    </w:p>
    <w:p w:rsidR="0076217D" w:rsidRDefault="0076217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17D" w:rsidRDefault="00A07E4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Обґрунтування необхідності прийняття рішення </w:t>
      </w: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17D" w:rsidRDefault="00A07E4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Київської міської ради «Про внесення змін до таблиці № 1 до додатка 5 до рішення Київської міської ради від 23.06.2011 № 242/5629 «Про встановлення місцевих податків і зборів у м. Києві» (в редакції рішення Київської міської ради від 31.08.2021 № 2185/2226)» розроблено на виконання Закону України «Про місцеве самоврядування в Україні» та на вимогу мешканців Оболонського району, які входять до територіально</w:t>
      </w:r>
      <w:r w:rsidR="00236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</w:t>
      </w:r>
      <w:r w:rsidR="00236B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міста Києва.</w:t>
      </w: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17D" w:rsidRDefault="00A07E44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Мета і завдання прийняття рішення</w:t>
      </w:r>
    </w:p>
    <w:p w:rsidR="0076217D" w:rsidRDefault="00A07E44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Метою прийняття рішення є виключення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Пункту 68 позиції «Оболонський р-н»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таблиці № 1 до додатка 5 до рішення Київської міської ради від 23.06.2011 № 242/5629 «Про встановлення місцевих податків і зборів у м. Києві» (в редакції рішення Київської міської ради від 31.08.2021 № 2185/2226).</w:t>
      </w: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17D" w:rsidRDefault="00A07E44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Загальна характеристика та основні положення прийняття рішення</w:t>
      </w:r>
    </w:p>
    <w:p w:rsidR="0076217D" w:rsidRDefault="00A07E44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передбачає:</w:t>
      </w:r>
    </w:p>
    <w:p w:rsidR="0076217D" w:rsidRDefault="00A07E4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- </w:t>
      </w:r>
      <w:r w:rsidR="00236B5D"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внесення до таблиці № 1 до додатка 5 до рішення Київської міської ради від 23.06.2011 № 242/5629 «Про встановлення місцевих податків і зборів у              м. Києві» (в редакції рішення Київської міської ради від 31.08.2021 № 2185/2226) таких змін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: </w:t>
      </w:r>
      <w:r>
        <w:rPr>
          <w:color w:val="000000"/>
          <w:sz w:val="28"/>
          <w:szCs w:val="28"/>
          <w:highlight w:val="white"/>
        </w:rPr>
        <w:t>Пункт 68 позиції «Оболонський р-н» виключити;</w:t>
      </w:r>
    </w:p>
    <w:p w:rsidR="0076217D" w:rsidRDefault="00236B5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="00A07E4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рішення набере чинності та буде застосоване у встан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овленому законодавством порядку</w:t>
      </w:r>
      <w:r w:rsidR="00A07E4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76217D" w:rsidRDefault="00A07E44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</w:t>
      </w:r>
      <w:r w:rsidR="00236B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оприлюднення цього рішення в установленому порядку.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217D" w:rsidRDefault="00A07E4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6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покладення контролю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 виконанням цього рішення покласти на постійну комісію Київської міської ради з питань бюджету та соціально-економічного розвитку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17D" w:rsidRDefault="00A07E44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Стан нормативно-правової бази у даній сфері правового регулювання</w:t>
      </w:r>
    </w:p>
    <w:p w:rsidR="0076217D" w:rsidRDefault="00A07E44">
      <w:pPr>
        <w:widowControl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Податковий кодекс України та Закон Україн</w:t>
      </w:r>
      <w:r w:rsidR="00236B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місцеве самоврядування в Україні».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цього рішення не потребує розроблення нових нормативно-правових актів.</w:t>
      </w: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217D" w:rsidRDefault="00A07E4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Фінансово-економічне обґрунтування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рішення </w:t>
      </w:r>
    </w:p>
    <w:p w:rsidR="0076217D" w:rsidRDefault="00A07E44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Реалізація цього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не передбачає додаткового витрачання коштів бюджету м. Києва, оскільки є організаційно-розпорядчим актом.</w:t>
      </w: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17D" w:rsidRDefault="00A07E44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6. Прогноз соціально-економічних та інших наслідків прийняття рішення</w:t>
      </w:r>
    </w:p>
    <w:p w:rsidR="0076217D" w:rsidRDefault="00A07E44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результаті прийняття цього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буде забезпечено захист прав та інтересів членів територіальної громади міста Києва.</w:t>
      </w: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17D" w:rsidRDefault="00A07E44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Суб’єкт подання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рішення</w:t>
      </w:r>
    </w:p>
    <w:p w:rsidR="0076217D" w:rsidRDefault="00A07E4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Суб’єктом подання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є депутат Київської міської ради IX скликання, член депутатської фракції «Слуга Народу» у Київській міській раді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Трубіцин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Владислав Сергійович.</w:t>
      </w: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17D" w:rsidRDefault="00A07E4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Доповідач на пленарному засідання</w:t>
      </w:r>
    </w:p>
    <w:p w:rsidR="0076217D" w:rsidRDefault="00A07E4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Доповідач на пленарному засіданні сесії Київської міської ради - депутат Київської міської ради IX скликання, член депутатської фракції «Слуга Народу» у Київській міській раді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Трубіцин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Владислав Сергійович.</w:t>
      </w: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17D" w:rsidRDefault="00A07E4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Питання супроводження та представлення на пленарному засіданні</w:t>
      </w:r>
    </w:p>
    <w:p w:rsidR="0076217D" w:rsidRDefault="00A07E4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Відповідальним за супроводження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та доповідачем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на пленарному засіданні сесії Київської міської ради є депутат Київської міської ради IX скликання, член депутатської фракції «Слуга Народу» у Київській міській раді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Трубіцин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Владислав Сергійович.</w:t>
      </w: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17D" w:rsidRDefault="00A07E4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Депутат</w:t>
      </w:r>
      <w:r w:rsidR="00236B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Київської міської ради </w:t>
      </w:r>
      <w:r w:rsidR="00236B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236B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236B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236B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Владислав ТРУБІЦИН</w:t>
      </w: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217D" w:rsidRDefault="007621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GoBack"/>
      <w:bookmarkEnd w:id="3"/>
    </w:p>
    <w:sectPr w:rsidR="0076217D">
      <w:pgSz w:w="11906" w:h="16838"/>
      <w:pgMar w:top="1134" w:right="566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A4255"/>
    <w:multiLevelType w:val="multilevel"/>
    <w:tmpl w:val="D6CAB71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24C1558"/>
    <w:multiLevelType w:val="multilevel"/>
    <w:tmpl w:val="26E43CA8"/>
    <w:lvl w:ilvl="0">
      <w:start w:val="5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7D"/>
    <w:rsid w:val="00236B5D"/>
    <w:rsid w:val="003206F2"/>
    <w:rsid w:val="004556B0"/>
    <w:rsid w:val="0076217D"/>
    <w:rsid w:val="00A07E44"/>
    <w:rsid w:val="00D546D1"/>
    <w:rsid w:val="00DA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34CB7-F4EB-4B49-9308-57F6732D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widowControl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206F2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20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349E4-9827-4521-BC4E-C26EE82DB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3266</Words>
  <Characters>1862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Баланюк Тетяна Петрівна</dc:creator>
  <cp:lastModifiedBy>Balanyuk Tatyana</cp:lastModifiedBy>
  <cp:revision>6</cp:revision>
  <cp:lastPrinted>2023-01-30T08:05:00Z</cp:lastPrinted>
  <dcterms:created xsi:type="dcterms:W3CDTF">2023-01-30T07:49:00Z</dcterms:created>
  <dcterms:modified xsi:type="dcterms:W3CDTF">2023-01-31T14:21:00Z</dcterms:modified>
</cp:coreProperties>
</file>