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2D45" w14:textId="77777777" w:rsidR="00E00FDB" w:rsidRPr="00E00FDB" w:rsidRDefault="00E00FDB" w:rsidP="00B35099">
      <w:pPr>
        <w:jc w:val="center"/>
        <w:rPr>
          <w:b/>
          <w:sz w:val="28"/>
        </w:rPr>
      </w:pPr>
      <w:r>
        <w:rPr>
          <w:b/>
          <w:sz w:val="28"/>
        </w:rPr>
        <w:t>ПОЯСНЮВАЛЬНА ЗАПИСКА</w:t>
      </w:r>
    </w:p>
    <w:p w14:paraId="12A52D46" w14:textId="5BFE653E" w:rsidR="00E00FDB" w:rsidRDefault="00E00FDB" w:rsidP="00B35099">
      <w:pPr>
        <w:jc w:val="center"/>
        <w:rPr>
          <w:sz w:val="28"/>
          <w:szCs w:val="28"/>
          <w:lang w:val="uk-UA"/>
        </w:rPr>
      </w:pPr>
      <w:r>
        <w:rPr>
          <w:sz w:val="28"/>
        </w:rPr>
        <w:t>до</w:t>
      </w:r>
      <w:r w:rsidRPr="00E00FDB">
        <w:rPr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 w:rsidRPr="00E00FDB">
        <w:rPr>
          <w:sz w:val="28"/>
        </w:rPr>
        <w:t xml:space="preserve"> </w:t>
      </w:r>
      <w:proofErr w:type="spellStart"/>
      <w:r>
        <w:rPr>
          <w:sz w:val="28"/>
        </w:rPr>
        <w:t>рішення</w:t>
      </w:r>
      <w:proofErr w:type="spellEnd"/>
      <w:r w:rsidRPr="00E00FDB">
        <w:rPr>
          <w:sz w:val="28"/>
        </w:rPr>
        <w:t xml:space="preserve"> </w:t>
      </w:r>
      <w:proofErr w:type="spellStart"/>
      <w:r>
        <w:rPr>
          <w:sz w:val="28"/>
        </w:rPr>
        <w:t>Київської</w:t>
      </w:r>
      <w:proofErr w:type="spellEnd"/>
      <w:r w:rsidRPr="00E00FDB"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 w:rsidRPr="00E00FDB">
        <w:rPr>
          <w:sz w:val="28"/>
        </w:rPr>
        <w:t xml:space="preserve"> </w:t>
      </w:r>
      <w:r>
        <w:rPr>
          <w:sz w:val="28"/>
        </w:rPr>
        <w:t>ради</w:t>
      </w:r>
      <w:r w:rsidRPr="00E00FDB">
        <w:rPr>
          <w:sz w:val="28"/>
        </w:rPr>
        <w:t xml:space="preserve"> «</w:t>
      </w:r>
      <w:r>
        <w:rPr>
          <w:sz w:val="28"/>
        </w:rPr>
        <w:t>Про</w:t>
      </w:r>
      <w:r w:rsidRPr="00E00FDB">
        <w:rPr>
          <w:sz w:val="28"/>
          <w:szCs w:val="28"/>
        </w:rPr>
        <w:t xml:space="preserve"> </w:t>
      </w:r>
      <w:r w:rsidR="00056524">
        <w:rPr>
          <w:sz w:val="28"/>
          <w:szCs w:val="28"/>
          <w:lang w:val="uk-UA"/>
        </w:rPr>
        <w:t>внесення</w:t>
      </w:r>
      <w:r w:rsidRPr="00E00F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змін до </w:t>
      </w:r>
      <w:proofErr w:type="spellStart"/>
      <w:r>
        <w:rPr>
          <w:sz w:val="28"/>
          <w:szCs w:val="28"/>
        </w:rPr>
        <w:t>міської</w:t>
      </w:r>
      <w:proofErr w:type="spellEnd"/>
      <w:r w:rsidRPr="00E00F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 w:rsidRPr="00E00F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 w:rsidRPr="00E00FD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Діти</w:t>
      </w:r>
      <w:proofErr w:type="spellEnd"/>
      <w:r w:rsidRPr="00E00FDB">
        <w:rPr>
          <w:sz w:val="28"/>
          <w:szCs w:val="28"/>
        </w:rPr>
        <w:t xml:space="preserve">. </w:t>
      </w:r>
      <w:proofErr w:type="spellStart"/>
      <w:r>
        <w:rPr>
          <w:sz w:val="28"/>
        </w:rPr>
        <w:t>Сім’я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Столиця</w:t>
      </w:r>
      <w:proofErr w:type="spellEnd"/>
      <w:r>
        <w:rPr>
          <w:sz w:val="28"/>
        </w:rPr>
        <w:t xml:space="preserve"> на 20</w:t>
      </w:r>
      <w:r w:rsidR="00AA7119">
        <w:rPr>
          <w:sz w:val="28"/>
          <w:lang w:val="uk-UA"/>
        </w:rPr>
        <w:t>22</w:t>
      </w:r>
      <w:r>
        <w:rPr>
          <w:sz w:val="28"/>
        </w:rPr>
        <w:t>-202</w:t>
      </w:r>
      <w:r w:rsidR="00AA7119">
        <w:rPr>
          <w:sz w:val="28"/>
          <w:lang w:val="uk-UA"/>
        </w:rPr>
        <w:t>4</w:t>
      </w:r>
      <w:r>
        <w:rPr>
          <w:sz w:val="28"/>
        </w:rPr>
        <w:t xml:space="preserve"> роки»</w:t>
      </w:r>
    </w:p>
    <w:p w14:paraId="12A52D47" w14:textId="77777777" w:rsidR="00E00FDB" w:rsidRDefault="00E00FDB" w:rsidP="00B35099">
      <w:pPr>
        <w:pStyle w:val="a3"/>
        <w:ind w:firstLine="0"/>
        <w:jc w:val="center"/>
        <w:rPr>
          <w:sz w:val="28"/>
        </w:rPr>
      </w:pPr>
    </w:p>
    <w:p w14:paraId="12A52D48" w14:textId="77777777" w:rsidR="00E00FDB" w:rsidRDefault="00E00FDB" w:rsidP="00B35099">
      <w:pPr>
        <w:pStyle w:val="a3"/>
        <w:numPr>
          <w:ilvl w:val="0"/>
          <w:numId w:val="1"/>
        </w:numPr>
        <w:rPr>
          <w:b/>
          <w:sz w:val="28"/>
        </w:rPr>
      </w:pPr>
      <w:proofErr w:type="spellStart"/>
      <w:r>
        <w:rPr>
          <w:b/>
          <w:sz w:val="28"/>
        </w:rPr>
        <w:t>Обгрунтування</w:t>
      </w:r>
      <w:proofErr w:type="spellEnd"/>
      <w:r>
        <w:rPr>
          <w:b/>
          <w:sz w:val="28"/>
        </w:rPr>
        <w:t xml:space="preserve"> необхідності прийняття рішення</w:t>
      </w:r>
    </w:p>
    <w:p w14:paraId="12A52D49" w14:textId="77777777" w:rsidR="00E00FDB" w:rsidRDefault="00E00FDB" w:rsidP="00B35099">
      <w:pPr>
        <w:pStyle w:val="a3"/>
        <w:ind w:firstLine="0"/>
        <w:rPr>
          <w:sz w:val="28"/>
        </w:rPr>
      </w:pPr>
    </w:p>
    <w:p w14:paraId="457B77FD" w14:textId="5F12B49D" w:rsidR="003239CB" w:rsidRDefault="00E00FDB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Розроблення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E138FB">
        <w:rPr>
          <w:rFonts w:eastAsia="MS Mincho"/>
          <w:sz w:val="28"/>
          <w:szCs w:val="20"/>
          <w:lang w:val="uk-UA"/>
        </w:rPr>
        <w:t>обумовлено необхідністю внесення змін до</w:t>
      </w:r>
      <w:r w:rsidRPr="00E138FB">
        <w:rPr>
          <w:rFonts w:eastAsia="Calibri"/>
          <w:sz w:val="28"/>
          <w:szCs w:val="28"/>
          <w:lang w:val="uk-UA"/>
        </w:rPr>
        <w:t xml:space="preserve"> міської цільової прогр</w:t>
      </w:r>
      <w:r w:rsidR="00AA7119">
        <w:rPr>
          <w:rFonts w:eastAsia="Calibri"/>
          <w:sz w:val="28"/>
          <w:szCs w:val="28"/>
          <w:lang w:val="uk-UA"/>
        </w:rPr>
        <w:t>ами «Діти. Сім’я. Столиця на 2022</w:t>
      </w:r>
      <w:r w:rsidRPr="00E138FB">
        <w:rPr>
          <w:rFonts w:eastAsia="Calibri"/>
          <w:sz w:val="28"/>
          <w:szCs w:val="28"/>
          <w:lang w:val="uk-UA"/>
        </w:rPr>
        <w:t>-202</w:t>
      </w:r>
      <w:r w:rsidR="00AA7119">
        <w:rPr>
          <w:rFonts w:eastAsia="Calibri"/>
          <w:sz w:val="28"/>
          <w:szCs w:val="28"/>
          <w:lang w:val="uk-UA"/>
        </w:rPr>
        <w:t>4</w:t>
      </w:r>
      <w:r w:rsidRPr="00E138FB">
        <w:rPr>
          <w:rFonts w:eastAsia="Calibri"/>
          <w:sz w:val="28"/>
          <w:szCs w:val="28"/>
          <w:lang w:val="uk-UA"/>
        </w:rPr>
        <w:t xml:space="preserve"> роки» для забезпечення приведення </w:t>
      </w:r>
      <w:r w:rsidRPr="00E138FB">
        <w:rPr>
          <w:sz w:val="28"/>
          <w:szCs w:val="28"/>
          <w:lang w:val="uk-UA"/>
        </w:rPr>
        <w:t>фінансових показників Програми у відповідність до бюджету міста Києва на 202</w:t>
      </w:r>
      <w:r w:rsidR="00287BF2">
        <w:rPr>
          <w:sz w:val="28"/>
          <w:szCs w:val="28"/>
          <w:lang w:val="uk-UA"/>
        </w:rPr>
        <w:t>3</w:t>
      </w:r>
      <w:r w:rsidRPr="00E138FB">
        <w:rPr>
          <w:sz w:val="28"/>
          <w:szCs w:val="28"/>
          <w:lang w:val="uk-UA"/>
        </w:rPr>
        <w:t xml:space="preserve"> рік</w:t>
      </w:r>
      <w:r w:rsidR="00AA7119">
        <w:rPr>
          <w:sz w:val="28"/>
          <w:szCs w:val="28"/>
          <w:lang w:val="uk-UA"/>
        </w:rPr>
        <w:t>, затвердженого рішенн</w:t>
      </w:r>
      <w:r w:rsidR="00287BF2">
        <w:rPr>
          <w:sz w:val="28"/>
          <w:szCs w:val="28"/>
          <w:lang w:val="uk-UA"/>
        </w:rPr>
        <w:t>ям Київської міської ради від 08</w:t>
      </w:r>
      <w:r w:rsidR="00AA7119">
        <w:rPr>
          <w:sz w:val="28"/>
          <w:szCs w:val="28"/>
          <w:lang w:val="uk-UA"/>
        </w:rPr>
        <w:t xml:space="preserve"> грудня </w:t>
      </w:r>
      <w:r w:rsidR="00287BF2">
        <w:rPr>
          <w:sz w:val="28"/>
          <w:szCs w:val="28"/>
          <w:lang w:val="uk-UA"/>
        </w:rPr>
        <w:t>2022 року № 5828/5869</w:t>
      </w:r>
      <w:r w:rsidR="00AA7119">
        <w:rPr>
          <w:sz w:val="28"/>
          <w:szCs w:val="28"/>
          <w:lang w:val="uk-UA"/>
        </w:rPr>
        <w:t>.</w:t>
      </w:r>
    </w:p>
    <w:p w14:paraId="7586CAEE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>п.1.1</w:t>
      </w:r>
      <w:r w:rsidRPr="00B35099">
        <w:rPr>
          <w:sz w:val="28"/>
          <w:szCs w:val="28"/>
          <w:lang w:val="uk-UA"/>
        </w:rPr>
        <w:t xml:space="preserve"> –витрати на 2023 рік – було 23 291,5 тис. грн, стало  85177,7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. що відповідає бюджету на 2023 рік (рішення про бюджет від 08.12.2022 року сума 48446,6 тис грн + 22 524,4 тис грн Ворзель два </w:t>
      </w:r>
      <w:proofErr w:type="spellStart"/>
      <w:r w:rsidRPr="00B35099">
        <w:rPr>
          <w:sz w:val="28"/>
          <w:szCs w:val="28"/>
          <w:lang w:val="uk-UA"/>
        </w:rPr>
        <w:t>корпуса</w:t>
      </w:r>
      <w:proofErr w:type="spellEnd"/>
      <w:r w:rsidRPr="00B35099">
        <w:rPr>
          <w:sz w:val="28"/>
          <w:szCs w:val="28"/>
          <w:lang w:val="uk-UA"/>
        </w:rPr>
        <w:t xml:space="preserve"> + капітальний ремонт 2083,2 </w:t>
      </w:r>
      <w:proofErr w:type="spellStart"/>
      <w:r w:rsidRPr="00B35099">
        <w:rPr>
          <w:sz w:val="28"/>
          <w:szCs w:val="28"/>
          <w:lang w:val="uk-UA"/>
        </w:rPr>
        <w:t>кв.м</w:t>
      </w:r>
      <w:proofErr w:type="spellEnd"/>
      <w:r w:rsidRPr="00B35099">
        <w:rPr>
          <w:sz w:val="28"/>
          <w:szCs w:val="28"/>
          <w:lang w:val="uk-UA"/>
        </w:rPr>
        <w:t xml:space="preserve"> на суму 14206,7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(Родинний дім - 2 об’єкти (фасад і підвал) – 1079,4 </w:t>
      </w:r>
      <w:proofErr w:type="spellStart"/>
      <w:r w:rsidRPr="00B35099">
        <w:rPr>
          <w:sz w:val="28"/>
          <w:szCs w:val="28"/>
          <w:lang w:val="uk-UA"/>
        </w:rPr>
        <w:t>кв.м</w:t>
      </w:r>
      <w:proofErr w:type="spellEnd"/>
      <w:r w:rsidRPr="00B35099">
        <w:rPr>
          <w:sz w:val="28"/>
          <w:szCs w:val="28"/>
          <w:lang w:val="uk-UA"/>
        </w:rPr>
        <w:t xml:space="preserve">., Лівобережний ВІЛ центр – 2 об’єкти (фасад і приміщення) – 1003,8 </w:t>
      </w:r>
      <w:proofErr w:type="spellStart"/>
      <w:r w:rsidRPr="00B35099">
        <w:rPr>
          <w:sz w:val="28"/>
          <w:szCs w:val="28"/>
          <w:lang w:val="uk-UA"/>
        </w:rPr>
        <w:t>кв.м</w:t>
      </w:r>
      <w:proofErr w:type="spellEnd"/>
      <w:r w:rsidRPr="00B35099">
        <w:rPr>
          <w:sz w:val="28"/>
          <w:szCs w:val="28"/>
          <w:lang w:val="uk-UA"/>
        </w:rPr>
        <w:t>.).</w:t>
      </w:r>
    </w:p>
    <w:p w14:paraId="4F240552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- змінилась кількість охоплених користувачів на 34912 осіб. В паспорті 2022 року було 38791, в 2023 році відхилення на 10% відповідно до паспорту 2023 року.</w:t>
      </w:r>
    </w:p>
    <w:p w14:paraId="33ECF42E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– витрати на 2024 рік – збільшені в порівнянні з 2023 роком на коефіцієнт 1,05, стало 89436,6 тис. грн.; </w:t>
      </w:r>
    </w:p>
    <w:p w14:paraId="246056F0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- змінилась кількість охоплених користувачів на 35000 осіб відповідно до 2023 року.</w:t>
      </w:r>
    </w:p>
    <w:p w14:paraId="300FC0ED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 xml:space="preserve">п. 2.2 </w:t>
      </w:r>
      <w:r w:rsidRPr="00B35099">
        <w:rPr>
          <w:sz w:val="28"/>
          <w:szCs w:val="28"/>
          <w:lang w:val="uk-UA"/>
        </w:rPr>
        <w:t>– на 2023 рік – було 3 автомобілі, стало  2 автомобілі для дитячих будинків сімейного типу. Зміна показника орієнтована на ринкову вартість нових легкових автомобілів на 7-8 місць.</w:t>
      </w:r>
    </w:p>
    <w:p w14:paraId="6769189D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-– на 2024 рік – було 3 автомобілі, стало  2 автомобілі для дитячих будинків сімейного типу. Зміна показника орієнтована на ринкову вартість нових легкових автомобілів на 7-8 місць (розрахунок додається).</w:t>
      </w:r>
    </w:p>
    <w:p w14:paraId="45E23B0B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 xml:space="preserve">п. 2.3 – </w:t>
      </w:r>
      <w:r w:rsidRPr="00B35099">
        <w:rPr>
          <w:sz w:val="28"/>
          <w:szCs w:val="28"/>
          <w:lang w:val="uk-UA"/>
        </w:rPr>
        <w:t xml:space="preserve">витрати на 2024 рік було -2170,8 тис. грн, стало 3170,8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для утримання дитячих будинків сімейного типу, для вирішення матеріально-побутових проблем.(створення 1 нового ДБСТ(32+1)).</w:t>
      </w:r>
    </w:p>
    <w:p w14:paraId="12FFE014" w14:textId="7C969BD4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 xml:space="preserve">п. 2.5 </w:t>
      </w:r>
      <w:r w:rsidRPr="00B35099">
        <w:rPr>
          <w:sz w:val="28"/>
          <w:szCs w:val="28"/>
          <w:lang w:val="uk-UA"/>
        </w:rPr>
        <w:t xml:space="preserve">– додались витрати на 2023 рік  в сумі 25 000,00 тис грн для </w:t>
      </w:r>
      <w:r w:rsidR="005349D9" w:rsidRPr="00B35099">
        <w:rPr>
          <w:sz w:val="28"/>
          <w:szCs w:val="28"/>
          <w:lang w:val="uk-UA"/>
        </w:rPr>
        <w:t>створення</w:t>
      </w:r>
      <w:r w:rsidRPr="00B35099">
        <w:rPr>
          <w:sz w:val="28"/>
          <w:szCs w:val="28"/>
          <w:lang w:val="uk-UA"/>
        </w:rPr>
        <w:t xml:space="preserve"> одного малого групового будинку у Дарницькому р-ні м. Києва, </w:t>
      </w:r>
      <w:proofErr w:type="spellStart"/>
      <w:r w:rsidRPr="00B35099">
        <w:rPr>
          <w:sz w:val="28"/>
          <w:szCs w:val="28"/>
          <w:lang w:val="uk-UA"/>
        </w:rPr>
        <w:t>вул.Шевченка</w:t>
      </w:r>
      <w:proofErr w:type="spellEnd"/>
      <w:r w:rsidRPr="00B35099">
        <w:rPr>
          <w:sz w:val="28"/>
          <w:szCs w:val="28"/>
          <w:lang w:val="uk-UA"/>
        </w:rPr>
        <w:t xml:space="preserve"> 16-А; обумовлено потребою у влаштуванні дітей з інвалідністю у заклад, в якому створено умови, максимально наближені до сімейних.</w:t>
      </w:r>
    </w:p>
    <w:p w14:paraId="1CCCD5A7" w14:textId="3C49BCA6" w:rsidR="00484075" w:rsidRPr="00484075" w:rsidRDefault="00B35099" w:rsidP="002B70E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  <w:r w:rsidRPr="00B35099">
        <w:rPr>
          <w:b/>
          <w:sz w:val="28"/>
          <w:szCs w:val="28"/>
          <w:lang w:val="uk-UA"/>
        </w:rPr>
        <w:t xml:space="preserve">п. 5.1 </w:t>
      </w:r>
      <w:r w:rsidR="00484075">
        <w:rPr>
          <w:b/>
          <w:sz w:val="28"/>
          <w:szCs w:val="28"/>
          <w:lang w:val="uk-UA"/>
        </w:rPr>
        <w:t xml:space="preserve">, </w:t>
      </w:r>
      <w:r w:rsidRPr="00B35099">
        <w:rPr>
          <w:b/>
          <w:sz w:val="28"/>
          <w:szCs w:val="28"/>
          <w:lang w:val="uk-UA"/>
        </w:rPr>
        <w:t xml:space="preserve">п. 5.2 - </w:t>
      </w:r>
      <w:r w:rsidR="00484075" w:rsidRPr="00484075">
        <w:rPr>
          <w:rFonts w:eastAsiaTheme="minorHAnsi"/>
          <w:sz w:val="28"/>
          <w:szCs w:val="28"/>
          <w:lang w:val="uk-UA" w:eastAsia="en-US"/>
        </w:rPr>
        <w:t>Оскільки Київський міський центр соціальних служб переходить в підпорядкування Департаменту соціальної політики, додано виконавця заходу програми (Департамент соціальної політики) як майбутнього головного розпорядника Київського міського центру соціальних служб.</w:t>
      </w:r>
    </w:p>
    <w:p w14:paraId="550E9889" w14:textId="147DBA8A" w:rsidR="00B35099" w:rsidRPr="00B35099" w:rsidRDefault="00B35099" w:rsidP="00484075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>п. 5.3</w:t>
      </w:r>
      <w:r w:rsidRPr="00B35099">
        <w:rPr>
          <w:sz w:val="28"/>
          <w:szCs w:val="28"/>
          <w:lang w:val="uk-UA"/>
        </w:rPr>
        <w:t xml:space="preserve"> – витрати були на 2023 рік  95 888,9 тис грн , стало 100 688,5 тис грн (100 663,9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. сума в бюджеті + додаткові 24,6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в Дніпровський р-н);</w:t>
      </w:r>
    </w:p>
    <w:p w14:paraId="2BFE9C02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– витрати на 2024 рік –збільшені в порівнянні з 2023 роком на коефіцієнт 1,05, стало 105722,9 тис. грн.; </w:t>
      </w:r>
    </w:p>
    <w:p w14:paraId="61B3C334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>п. 6.1</w:t>
      </w:r>
      <w:r w:rsidRPr="00B35099">
        <w:rPr>
          <w:sz w:val="28"/>
          <w:szCs w:val="28"/>
          <w:lang w:val="uk-UA"/>
        </w:rPr>
        <w:t xml:space="preserve"> – витрати на 2023 рік - було 0,00 тис. грн., стало 3725,6 тис. грн., що відповідає бюджету на 2023 рік;</w:t>
      </w:r>
    </w:p>
    <w:p w14:paraId="485490DC" w14:textId="77777777" w:rsidR="00B35099" w:rsidRPr="00B35099" w:rsidRDefault="00B35099" w:rsidP="00B350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lastRenderedPageBreak/>
        <w:t xml:space="preserve">виділено додаткові кошти на капітальний ремонт приміщення Київського міського центру соціальних служб  – 245,5 </w:t>
      </w:r>
      <w:proofErr w:type="spellStart"/>
      <w:r w:rsidRPr="00B35099">
        <w:rPr>
          <w:sz w:val="28"/>
          <w:szCs w:val="28"/>
          <w:lang w:val="uk-UA"/>
        </w:rPr>
        <w:t>кв.м</w:t>
      </w:r>
      <w:proofErr w:type="spellEnd"/>
      <w:r w:rsidRPr="00B35099">
        <w:rPr>
          <w:sz w:val="28"/>
          <w:szCs w:val="28"/>
          <w:lang w:val="uk-UA"/>
        </w:rPr>
        <w:t>.</w:t>
      </w:r>
    </w:p>
    <w:p w14:paraId="7A096BD3" w14:textId="77777777" w:rsidR="00983710" w:rsidRDefault="00983710" w:rsidP="00B3509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2A52D50" w14:textId="77777777" w:rsidR="00E00FDB" w:rsidRDefault="00E00FDB" w:rsidP="00B35099">
      <w:pPr>
        <w:pStyle w:val="a5"/>
        <w:numPr>
          <w:ilvl w:val="0"/>
          <w:numId w:val="1"/>
        </w:numPr>
        <w:jc w:val="both"/>
        <w:rPr>
          <w:b/>
          <w:sz w:val="28"/>
          <w:lang w:val="uk-UA" w:eastAsia="ja-JP"/>
        </w:rPr>
      </w:pPr>
      <w:r>
        <w:rPr>
          <w:b/>
          <w:sz w:val="28"/>
          <w:lang w:val="uk-UA" w:eastAsia="ja-JP"/>
        </w:rPr>
        <w:t>Мета і шляхи досягнення</w:t>
      </w:r>
    </w:p>
    <w:p w14:paraId="12A52D51" w14:textId="77777777" w:rsidR="00E00FDB" w:rsidRDefault="00E00FDB" w:rsidP="00B35099">
      <w:pPr>
        <w:ind w:firstLine="708"/>
        <w:jc w:val="both"/>
        <w:rPr>
          <w:sz w:val="28"/>
          <w:lang w:val="uk-UA" w:eastAsia="ja-JP"/>
        </w:rPr>
      </w:pPr>
    </w:p>
    <w:p w14:paraId="12A52D53" w14:textId="69E85E29" w:rsidR="00E00FDB" w:rsidRDefault="00E00FDB" w:rsidP="00B3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 w:eastAsia="ja-JP"/>
        </w:rPr>
        <w:t xml:space="preserve">Метою прийняття цього </w:t>
      </w:r>
      <w:proofErr w:type="spellStart"/>
      <w:r>
        <w:rPr>
          <w:sz w:val="28"/>
          <w:lang w:val="uk-UA" w:eastAsia="ja-JP"/>
        </w:rPr>
        <w:t>проєкту</w:t>
      </w:r>
      <w:proofErr w:type="spellEnd"/>
      <w:r>
        <w:rPr>
          <w:sz w:val="28"/>
          <w:lang w:val="uk-UA" w:eastAsia="ja-JP"/>
        </w:rPr>
        <w:t xml:space="preserve"> рішення є </w:t>
      </w:r>
      <w:r w:rsidR="003D18E8">
        <w:rPr>
          <w:sz w:val="28"/>
          <w:szCs w:val="28"/>
          <w:lang w:val="uk-UA"/>
        </w:rPr>
        <w:t>внесення</w:t>
      </w:r>
      <w:r>
        <w:rPr>
          <w:sz w:val="28"/>
          <w:szCs w:val="28"/>
          <w:lang w:val="uk-UA"/>
        </w:rPr>
        <w:t xml:space="preserve"> змін до</w:t>
      </w:r>
      <w:r w:rsidRPr="00E00FDB">
        <w:rPr>
          <w:sz w:val="28"/>
          <w:szCs w:val="28"/>
          <w:lang w:val="uk-UA"/>
        </w:rPr>
        <w:t xml:space="preserve"> міської цільової програми «Діти. Сім’я. Столиця на 20</w:t>
      </w:r>
      <w:r w:rsidR="00AA7119">
        <w:rPr>
          <w:sz w:val="28"/>
          <w:szCs w:val="28"/>
          <w:lang w:val="uk-UA"/>
        </w:rPr>
        <w:t>22</w:t>
      </w:r>
      <w:r w:rsidRPr="00E00FDB">
        <w:rPr>
          <w:sz w:val="28"/>
          <w:szCs w:val="28"/>
          <w:lang w:val="uk-UA"/>
        </w:rPr>
        <w:t>-202</w:t>
      </w:r>
      <w:r w:rsidR="00AA7119">
        <w:rPr>
          <w:sz w:val="28"/>
          <w:szCs w:val="28"/>
          <w:lang w:val="uk-UA"/>
        </w:rPr>
        <w:t>4</w:t>
      </w:r>
      <w:r w:rsidRPr="00E00FDB">
        <w:rPr>
          <w:sz w:val="28"/>
          <w:szCs w:val="28"/>
          <w:lang w:val="uk-UA"/>
        </w:rPr>
        <w:t xml:space="preserve"> роки» для забезпечення 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піклування.</w:t>
      </w:r>
      <w:r w:rsidRPr="00E00FD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</w:p>
    <w:p w14:paraId="12712988" w14:textId="1A5309B2" w:rsidR="007D7B8F" w:rsidRDefault="007D7B8F" w:rsidP="00B3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</w:p>
    <w:p w14:paraId="12A52D54" w14:textId="77777777" w:rsidR="00E00FDB" w:rsidRDefault="00E00FDB" w:rsidP="00B35099">
      <w:pPr>
        <w:pStyle w:val="a5"/>
        <w:numPr>
          <w:ilvl w:val="0"/>
          <w:numId w:val="1"/>
        </w:numPr>
        <w:jc w:val="both"/>
        <w:rPr>
          <w:b/>
          <w:sz w:val="28"/>
          <w:lang w:val="uk-UA" w:eastAsia="ja-JP"/>
        </w:rPr>
      </w:pPr>
      <w:r>
        <w:rPr>
          <w:b/>
          <w:sz w:val="28"/>
          <w:lang w:val="uk-UA" w:eastAsia="ja-JP"/>
        </w:rPr>
        <w:t>Правові аспекти</w:t>
      </w:r>
    </w:p>
    <w:p w14:paraId="12A52D55" w14:textId="77777777" w:rsidR="00E00FDB" w:rsidRDefault="00E00FDB" w:rsidP="00B35099">
      <w:pPr>
        <w:jc w:val="both"/>
        <w:rPr>
          <w:sz w:val="28"/>
          <w:lang w:val="uk-UA" w:eastAsia="ja-JP"/>
        </w:rPr>
      </w:pPr>
    </w:p>
    <w:p w14:paraId="2FED35CE" w14:textId="7CB0032A" w:rsidR="003239CB" w:rsidRDefault="00E00FDB" w:rsidP="00B3509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цього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3E2F5C">
        <w:rPr>
          <w:sz w:val="28"/>
          <w:szCs w:val="28"/>
          <w:lang w:val="uk-UA"/>
        </w:rPr>
        <w:t>не потребує прийняття додаткових нормативно-правових актів та здійснюється відповідно до</w:t>
      </w:r>
      <w:r w:rsidRPr="003E2F5C">
        <w:rPr>
          <w:color w:val="000000"/>
          <w:sz w:val="28"/>
          <w:szCs w:val="28"/>
          <w:lang w:val="uk-UA"/>
        </w:rPr>
        <w:t xml:space="preserve"> </w:t>
      </w:r>
      <w:r w:rsidRPr="003E2F5C">
        <w:rPr>
          <w:sz w:val="28"/>
          <w:szCs w:val="28"/>
          <w:lang w:val="uk-UA"/>
        </w:rPr>
        <w:t>законів</w:t>
      </w:r>
      <w:r w:rsidRPr="003E2F5C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3E2F5C">
        <w:rPr>
          <w:sz w:val="28"/>
          <w:szCs w:val="28"/>
          <w:lang w:val="uk-UA"/>
        </w:rPr>
        <w:t>«Про місцеві державні адміністрації</w:t>
      </w:r>
      <w:r>
        <w:rPr>
          <w:sz w:val="28"/>
          <w:szCs w:val="28"/>
          <w:lang w:val="uk-UA"/>
        </w:rPr>
        <w:t>»,</w:t>
      </w:r>
      <w:r>
        <w:rPr>
          <w:color w:val="000000"/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Київської міської ради від 29 жовтня 2009 року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520/2589 «Про Порядок розроблення, затвердження та виконання міських цільових програм у місті Києві»</w:t>
      </w:r>
      <w:r w:rsidR="003239CB">
        <w:rPr>
          <w:sz w:val="28"/>
          <w:szCs w:val="28"/>
          <w:lang w:val="uk-UA"/>
        </w:rPr>
        <w:t>.</w:t>
      </w:r>
    </w:p>
    <w:p w14:paraId="12A52D57" w14:textId="7F671067" w:rsidR="00E00FDB" w:rsidRDefault="00E00FDB" w:rsidP="00B3509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r w:rsidR="00056524">
        <w:rPr>
          <w:sz w:val="28"/>
          <w:szCs w:val="28"/>
          <w:lang w:val="uk-UA"/>
        </w:rPr>
        <w:t xml:space="preserve">здійснення </w:t>
      </w:r>
      <w:proofErr w:type="spellStart"/>
      <w:r>
        <w:rPr>
          <w:sz w:val="28"/>
          <w:szCs w:val="28"/>
        </w:rPr>
        <w:t>стратегічної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(СЕО), так як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спричиняє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промисловості</w:t>
      </w:r>
      <w:proofErr w:type="spellEnd"/>
      <w:r>
        <w:rPr>
          <w:sz w:val="28"/>
          <w:szCs w:val="28"/>
        </w:rPr>
        <w:t xml:space="preserve">, транспорту, </w:t>
      </w:r>
      <w:proofErr w:type="spellStart"/>
      <w:r>
        <w:rPr>
          <w:sz w:val="28"/>
          <w:szCs w:val="28"/>
        </w:rPr>
        <w:t>поводження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відходами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телекомунікацій</w:t>
      </w:r>
      <w:proofErr w:type="spellEnd"/>
      <w:r>
        <w:rPr>
          <w:sz w:val="28"/>
          <w:szCs w:val="28"/>
        </w:rPr>
        <w:t xml:space="preserve">, туризму,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схеми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передбачатиме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вимагають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зважаючи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ймовірні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природно-</w:t>
      </w:r>
      <w:proofErr w:type="spellStart"/>
      <w:r>
        <w:rPr>
          <w:sz w:val="28"/>
          <w:szCs w:val="28"/>
        </w:rPr>
        <w:t>заповідного</w:t>
      </w:r>
      <w:proofErr w:type="spellEnd"/>
      <w:r>
        <w:rPr>
          <w:sz w:val="28"/>
          <w:szCs w:val="28"/>
        </w:rPr>
        <w:t xml:space="preserve"> фонду та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>.</w:t>
      </w:r>
    </w:p>
    <w:p w14:paraId="12A52D58" w14:textId="77777777" w:rsidR="00E00FDB" w:rsidRDefault="00E00FDB" w:rsidP="00B3509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12A52D59" w14:textId="77777777" w:rsidR="00E00FDB" w:rsidRDefault="00E00FDB" w:rsidP="00B35099">
      <w:pPr>
        <w:pStyle w:val="a5"/>
        <w:numPr>
          <w:ilvl w:val="0"/>
          <w:numId w:val="1"/>
        </w:numPr>
        <w:jc w:val="both"/>
        <w:rPr>
          <w:b/>
          <w:sz w:val="28"/>
          <w:lang w:val="uk-UA" w:eastAsia="ja-JP"/>
        </w:rPr>
      </w:pPr>
      <w:r>
        <w:rPr>
          <w:b/>
          <w:sz w:val="28"/>
          <w:lang w:val="uk-UA" w:eastAsia="ja-JP"/>
        </w:rPr>
        <w:t>Фінансово-економічне обґрунтування</w:t>
      </w:r>
    </w:p>
    <w:p w14:paraId="12A52D5A" w14:textId="77777777" w:rsidR="00E00FDB" w:rsidRDefault="00E00FDB" w:rsidP="00B35099">
      <w:pPr>
        <w:jc w:val="both"/>
        <w:rPr>
          <w:sz w:val="28"/>
          <w:lang w:val="uk-UA" w:eastAsia="ja-JP"/>
        </w:rPr>
      </w:pPr>
    </w:p>
    <w:p w14:paraId="53AE7617" w14:textId="659C59BB" w:rsidR="00B35099" w:rsidRPr="00B35099" w:rsidRDefault="00E00FDB" w:rsidP="00B350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</w:t>
      </w:r>
      <w:r w:rsidRPr="00835C5C">
        <w:rPr>
          <w:sz w:val="28"/>
          <w:szCs w:val="28"/>
          <w:lang w:val="uk-UA"/>
        </w:rPr>
        <w:t>ан</w:t>
      </w:r>
      <w:r>
        <w:rPr>
          <w:sz w:val="28"/>
          <w:szCs w:val="28"/>
          <w:lang w:val="uk-UA"/>
        </w:rPr>
        <w:t>ого</w:t>
      </w:r>
      <w:r w:rsidRPr="00835C5C">
        <w:rPr>
          <w:sz w:val="28"/>
          <w:szCs w:val="28"/>
          <w:lang w:val="uk-UA"/>
        </w:rPr>
        <w:t xml:space="preserve"> </w:t>
      </w:r>
      <w:proofErr w:type="spellStart"/>
      <w:r w:rsidRPr="00835C5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рішення забезпечить приведення фінансових показників Програми у відповідність до бюджету міста Києва на 202</w:t>
      </w:r>
      <w:r w:rsidR="00FF415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 </w:t>
      </w:r>
      <w:r w:rsidR="00B35099" w:rsidRPr="00B35099">
        <w:rPr>
          <w:sz w:val="28"/>
          <w:szCs w:val="28"/>
          <w:lang w:val="uk-UA"/>
        </w:rPr>
        <w:t xml:space="preserve">Загальна сума Програми на 2023 </w:t>
      </w:r>
      <w:r w:rsidR="00B35099" w:rsidRPr="00B35099">
        <w:rPr>
          <w:sz w:val="28"/>
          <w:szCs w:val="28"/>
        </w:rPr>
        <w:t xml:space="preserve"> </w:t>
      </w:r>
      <w:r w:rsidR="00B35099" w:rsidRPr="00B35099">
        <w:rPr>
          <w:sz w:val="28"/>
          <w:szCs w:val="28"/>
          <w:lang w:val="uk-UA"/>
        </w:rPr>
        <w:t>рік збільшилась на 10</w:t>
      </w:r>
      <w:r w:rsidR="00484075">
        <w:rPr>
          <w:sz w:val="28"/>
          <w:szCs w:val="28"/>
          <w:lang w:val="uk-UA"/>
        </w:rPr>
        <w:t>2</w:t>
      </w:r>
      <w:r w:rsidR="00B35099" w:rsidRPr="00B35099">
        <w:rPr>
          <w:sz w:val="28"/>
          <w:szCs w:val="28"/>
          <w:lang w:val="uk-UA"/>
        </w:rPr>
        <w:t> 9</w:t>
      </w:r>
      <w:r w:rsidR="00484075">
        <w:rPr>
          <w:sz w:val="28"/>
          <w:szCs w:val="28"/>
          <w:lang w:val="uk-UA"/>
        </w:rPr>
        <w:t>11</w:t>
      </w:r>
      <w:r w:rsidR="00B35099" w:rsidRPr="00B35099">
        <w:rPr>
          <w:sz w:val="28"/>
          <w:szCs w:val="28"/>
          <w:lang w:val="uk-UA"/>
        </w:rPr>
        <w:t>,</w:t>
      </w:r>
      <w:r w:rsidR="00484075">
        <w:rPr>
          <w:sz w:val="28"/>
          <w:szCs w:val="28"/>
          <w:lang w:val="uk-UA"/>
        </w:rPr>
        <w:t>4</w:t>
      </w:r>
      <w:r w:rsidR="00B35099" w:rsidRPr="00B35099">
        <w:rPr>
          <w:sz w:val="28"/>
          <w:szCs w:val="28"/>
          <w:lang w:val="uk-UA"/>
        </w:rPr>
        <w:t xml:space="preserve"> </w:t>
      </w:r>
      <w:proofErr w:type="spellStart"/>
      <w:r w:rsidR="00B35099" w:rsidRPr="00B35099">
        <w:rPr>
          <w:sz w:val="28"/>
          <w:szCs w:val="28"/>
          <w:lang w:val="uk-UA"/>
        </w:rPr>
        <w:t>тис.грн</w:t>
      </w:r>
      <w:proofErr w:type="spellEnd"/>
      <w:r w:rsidR="00B35099" w:rsidRPr="00B35099">
        <w:rPr>
          <w:sz w:val="28"/>
          <w:szCs w:val="28"/>
          <w:lang w:val="uk-UA"/>
        </w:rPr>
        <w:t xml:space="preserve"> за рахунок:</w:t>
      </w:r>
    </w:p>
    <w:p w14:paraId="66F537AE" w14:textId="77777777" w:rsidR="00B35099" w:rsidRPr="00B35099" w:rsidRDefault="00B35099" w:rsidP="00B3509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п.1.1 п.– 61886,2 тис. грн. – </w:t>
      </w:r>
      <w:proofErr w:type="spellStart"/>
      <w:r w:rsidRPr="00B35099">
        <w:rPr>
          <w:sz w:val="28"/>
          <w:szCs w:val="28"/>
          <w:lang w:val="uk-UA"/>
        </w:rPr>
        <w:t>скадається</w:t>
      </w:r>
      <w:proofErr w:type="spellEnd"/>
      <w:r w:rsidRPr="00B35099">
        <w:rPr>
          <w:sz w:val="28"/>
          <w:szCs w:val="28"/>
          <w:lang w:val="uk-UA"/>
        </w:rPr>
        <w:t xml:space="preserve"> з: </w:t>
      </w:r>
    </w:p>
    <w:p w14:paraId="6865FA8E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75 177,7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враховані в бюджеті міста Києва.</w:t>
      </w:r>
    </w:p>
    <w:p w14:paraId="2B4A0C74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10 000,0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додаткові кошти Київському міському центру соціальної підтримки дітей та сімей на 1 півріччя.</w:t>
      </w:r>
    </w:p>
    <w:p w14:paraId="52CC8313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23 291,5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було в МЦП на 2023 рік. </w:t>
      </w:r>
    </w:p>
    <w:p w14:paraId="0ACD4DF1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Збільшення у зв’язку з приведенням у відповідність з бюджетом міста (в тому числі збільшення </w:t>
      </w:r>
      <w:proofErr w:type="spellStart"/>
      <w:r w:rsidRPr="00B35099">
        <w:rPr>
          <w:sz w:val="28"/>
          <w:szCs w:val="28"/>
          <w:lang w:val="uk-UA"/>
        </w:rPr>
        <w:t>ліжкомісць</w:t>
      </w:r>
      <w:proofErr w:type="spellEnd"/>
      <w:r w:rsidRPr="00B35099">
        <w:rPr>
          <w:sz w:val="28"/>
          <w:szCs w:val="28"/>
          <w:lang w:val="uk-UA"/>
        </w:rPr>
        <w:t xml:space="preserve"> на 60 дітей Київського міського центру соціальної підтримки дітей та сімей) підпорядкованих Службі у справах дітей та сім’ї міста Києва, а саме:</w:t>
      </w:r>
      <w:bookmarkStart w:id="1" w:name="_Hlk116395571"/>
    </w:p>
    <w:p w14:paraId="0133C875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lastRenderedPageBreak/>
        <w:t>1. Комунальна установа «Київський міський правобережний центр для ВІЛ-інфікованих дітей та молоді»;</w:t>
      </w:r>
      <w:bookmarkStart w:id="2" w:name="_Hlk116395859"/>
      <w:bookmarkEnd w:id="1"/>
    </w:p>
    <w:p w14:paraId="3A9DE2EE" w14:textId="77777777" w:rsidR="00B35099" w:rsidRPr="00B35099" w:rsidRDefault="00B35099" w:rsidP="00B35099">
      <w:pPr>
        <w:ind w:firstLine="567"/>
        <w:jc w:val="both"/>
        <w:rPr>
          <w:sz w:val="28"/>
          <w:szCs w:val="28"/>
        </w:rPr>
      </w:pPr>
      <w:r w:rsidRPr="00B35099">
        <w:rPr>
          <w:sz w:val="28"/>
          <w:szCs w:val="28"/>
          <w:lang w:val="uk-UA"/>
        </w:rPr>
        <w:t>2.</w:t>
      </w:r>
      <w:proofErr w:type="spellStart"/>
      <w:r w:rsidRPr="00B35099">
        <w:rPr>
          <w:sz w:val="28"/>
          <w:szCs w:val="28"/>
        </w:rPr>
        <w:t>Комунальна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установа</w:t>
      </w:r>
      <w:proofErr w:type="spellEnd"/>
      <w:r w:rsidRPr="00B35099">
        <w:rPr>
          <w:sz w:val="28"/>
          <w:szCs w:val="28"/>
        </w:rPr>
        <w:t xml:space="preserve"> «</w:t>
      </w:r>
      <w:proofErr w:type="spellStart"/>
      <w:r w:rsidRPr="00B35099">
        <w:rPr>
          <w:sz w:val="28"/>
          <w:szCs w:val="28"/>
        </w:rPr>
        <w:t>Київський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міський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лівобережний</w:t>
      </w:r>
      <w:proofErr w:type="spellEnd"/>
      <w:r w:rsidRPr="00B35099">
        <w:rPr>
          <w:sz w:val="28"/>
          <w:szCs w:val="28"/>
        </w:rPr>
        <w:t xml:space="preserve"> центр для ВІЛ-</w:t>
      </w:r>
      <w:proofErr w:type="spellStart"/>
      <w:r w:rsidRPr="00B35099">
        <w:rPr>
          <w:sz w:val="28"/>
          <w:szCs w:val="28"/>
        </w:rPr>
        <w:t>інфікованих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дітей</w:t>
      </w:r>
      <w:proofErr w:type="spellEnd"/>
      <w:r w:rsidRPr="00B35099">
        <w:rPr>
          <w:sz w:val="28"/>
          <w:szCs w:val="28"/>
        </w:rPr>
        <w:t xml:space="preserve"> та </w:t>
      </w:r>
      <w:proofErr w:type="spellStart"/>
      <w:r w:rsidRPr="00B35099">
        <w:rPr>
          <w:sz w:val="28"/>
          <w:szCs w:val="28"/>
        </w:rPr>
        <w:t>молоді</w:t>
      </w:r>
      <w:proofErr w:type="spellEnd"/>
      <w:r w:rsidRPr="00B35099">
        <w:rPr>
          <w:sz w:val="28"/>
          <w:szCs w:val="28"/>
        </w:rPr>
        <w:t>»;</w:t>
      </w:r>
      <w:bookmarkEnd w:id="2"/>
    </w:p>
    <w:p w14:paraId="5617A7AB" w14:textId="77777777" w:rsidR="00B35099" w:rsidRPr="00B35099" w:rsidRDefault="00B35099" w:rsidP="00B35099">
      <w:pPr>
        <w:ind w:firstLine="567"/>
        <w:jc w:val="both"/>
        <w:rPr>
          <w:sz w:val="28"/>
          <w:szCs w:val="28"/>
        </w:rPr>
      </w:pPr>
      <w:r w:rsidRPr="00B35099">
        <w:rPr>
          <w:sz w:val="28"/>
          <w:szCs w:val="28"/>
          <w:lang w:val="uk-UA"/>
        </w:rPr>
        <w:t>3.</w:t>
      </w:r>
      <w:proofErr w:type="spellStart"/>
      <w:r w:rsidRPr="00B35099">
        <w:rPr>
          <w:sz w:val="28"/>
          <w:szCs w:val="28"/>
        </w:rPr>
        <w:t>Міський</w:t>
      </w:r>
      <w:proofErr w:type="spellEnd"/>
      <w:r w:rsidRPr="00B35099">
        <w:rPr>
          <w:sz w:val="28"/>
          <w:szCs w:val="28"/>
        </w:rPr>
        <w:t xml:space="preserve"> центр </w:t>
      </w:r>
      <w:proofErr w:type="spellStart"/>
      <w:r w:rsidRPr="00B35099">
        <w:rPr>
          <w:sz w:val="28"/>
          <w:szCs w:val="28"/>
        </w:rPr>
        <w:t>дитини</w:t>
      </w:r>
      <w:proofErr w:type="spellEnd"/>
      <w:r w:rsidRPr="00B35099">
        <w:rPr>
          <w:sz w:val="28"/>
          <w:szCs w:val="28"/>
        </w:rPr>
        <w:t>;</w:t>
      </w:r>
    </w:p>
    <w:p w14:paraId="64881CF1" w14:textId="77777777" w:rsidR="00B35099" w:rsidRPr="00B35099" w:rsidRDefault="00B35099" w:rsidP="00B35099">
      <w:pPr>
        <w:ind w:firstLine="567"/>
        <w:jc w:val="both"/>
        <w:rPr>
          <w:sz w:val="28"/>
          <w:szCs w:val="28"/>
        </w:rPr>
      </w:pPr>
      <w:r w:rsidRPr="00B35099">
        <w:rPr>
          <w:sz w:val="28"/>
          <w:szCs w:val="28"/>
          <w:lang w:val="uk-UA"/>
        </w:rPr>
        <w:t>4.</w:t>
      </w:r>
      <w:proofErr w:type="spellStart"/>
      <w:r w:rsidRPr="00B35099">
        <w:rPr>
          <w:sz w:val="28"/>
          <w:szCs w:val="28"/>
        </w:rPr>
        <w:t>Київський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міський</w:t>
      </w:r>
      <w:proofErr w:type="spellEnd"/>
      <w:r w:rsidRPr="00B35099">
        <w:rPr>
          <w:sz w:val="28"/>
          <w:szCs w:val="28"/>
        </w:rPr>
        <w:t xml:space="preserve"> центр </w:t>
      </w:r>
      <w:proofErr w:type="spellStart"/>
      <w:r w:rsidRPr="00B35099">
        <w:rPr>
          <w:sz w:val="28"/>
          <w:szCs w:val="28"/>
        </w:rPr>
        <w:t>соціально-психологічної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допомоги</w:t>
      </w:r>
      <w:proofErr w:type="spellEnd"/>
      <w:r w:rsidRPr="00B35099">
        <w:rPr>
          <w:sz w:val="28"/>
          <w:szCs w:val="28"/>
        </w:rPr>
        <w:t>;</w:t>
      </w:r>
    </w:p>
    <w:p w14:paraId="54CB30E0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5.</w:t>
      </w:r>
      <w:proofErr w:type="spellStart"/>
      <w:r w:rsidRPr="00B35099">
        <w:rPr>
          <w:sz w:val="28"/>
          <w:szCs w:val="28"/>
        </w:rPr>
        <w:t>Київський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міський</w:t>
      </w:r>
      <w:proofErr w:type="spellEnd"/>
      <w:r w:rsidRPr="00B35099">
        <w:rPr>
          <w:sz w:val="28"/>
          <w:szCs w:val="28"/>
        </w:rPr>
        <w:t xml:space="preserve"> центр </w:t>
      </w:r>
      <w:proofErr w:type="spellStart"/>
      <w:r w:rsidRPr="00B35099">
        <w:rPr>
          <w:sz w:val="28"/>
          <w:szCs w:val="28"/>
        </w:rPr>
        <w:t>сім’ї</w:t>
      </w:r>
      <w:proofErr w:type="spellEnd"/>
      <w:r w:rsidRPr="00B35099">
        <w:rPr>
          <w:sz w:val="28"/>
          <w:szCs w:val="28"/>
        </w:rPr>
        <w:t xml:space="preserve"> «</w:t>
      </w:r>
      <w:proofErr w:type="spellStart"/>
      <w:r w:rsidRPr="00B35099">
        <w:rPr>
          <w:sz w:val="28"/>
          <w:szCs w:val="28"/>
        </w:rPr>
        <w:t>Родинний</w:t>
      </w:r>
      <w:proofErr w:type="spellEnd"/>
      <w:r w:rsidRPr="00B35099">
        <w:rPr>
          <w:sz w:val="28"/>
          <w:szCs w:val="28"/>
        </w:rPr>
        <w:t xml:space="preserve"> </w:t>
      </w:r>
      <w:proofErr w:type="spellStart"/>
      <w:r w:rsidRPr="00B35099">
        <w:rPr>
          <w:sz w:val="28"/>
          <w:szCs w:val="28"/>
        </w:rPr>
        <w:t>дім</w:t>
      </w:r>
      <w:proofErr w:type="spellEnd"/>
      <w:r w:rsidRPr="00B35099">
        <w:rPr>
          <w:sz w:val="28"/>
          <w:szCs w:val="28"/>
        </w:rPr>
        <w:t>»</w:t>
      </w:r>
      <w:r w:rsidRPr="00B35099">
        <w:rPr>
          <w:sz w:val="28"/>
          <w:szCs w:val="28"/>
          <w:lang w:val="uk-UA"/>
        </w:rPr>
        <w:t>;</w:t>
      </w:r>
      <w:bookmarkStart w:id="3" w:name="_Hlk116397553"/>
    </w:p>
    <w:p w14:paraId="121EEDB9" w14:textId="1AD0C581" w:rsid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6.Київський міський центр соціальної підтримки дітей та сімей</w:t>
      </w:r>
      <w:bookmarkEnd w:id="3"/>
      <w:r w:rsidRPr="00B35099">
        <w:rPr>
          <w:sz w:val="28"/>
          <w:szCs w:val="28"/>
          <w:lang w:val="uk-UA"/>
        </w:rPr>
        <w:t>.</w:t>
      </w:r>
    </w:p>
    <w:p w14:paraId="56359E82" w14:textId="77777777" w:rsidR="00484075" w:rsidRPr="00B35099" w:rsidRDefault="00484075" w:rsidP="00B35099">
      <w:pPr>
        <w:ind w:firstLine="567"/>
        <w:jc w:val="both"/>
        <w:rPr>
          <w:sz w:val="28"/>
          <w:szCs w:val="28"/>
          <w:lang w:val="uk-UA"/>
        </w:rPr>
      </w:pPr>
    </w:p>
    <w:p w14:paraId="43FE8877" w14:textId="3CB6E64A" w:rsidR="00484075" w:rsidRPr="00484075" w:rsidRDefault="00484075" w:rsidP="00484075">
      <w:pPr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</w:t>
      </w:r>
      <w:r w:rsidR="00B35099" w:rsidRPr="00B35099">
        <w:rPr>
          <w:sz w:val="28"/>
          <w:szCs w:val="28"/>
          <w:lang w:val="uk-UA"/>
        </w:rPr>
        <w:t xml:space="preserve">- п. 2.4 – 7 500,0 </w:t>
      </w:r>
      <w:proofErr w:type="spellStart"/>
      <w:r w:rsidR="00B35099" w:rsidRPr="00B35099"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-</w:t>
      </w:r>
      <w:r w:rsidR="00B35099" w:rsidRPr="00B35099">
        <w:rPr>
          <w:sz w:val="28"/>
          <w:szCs w:val="28"/>
          <w:lang w:val="uk-UA"/>
        </w:rPr>
        <w:t xml:space="preserve"> </w:t>
      </w:r>
      <w:r w:rsidRPr="00484075">
        <w:rPr>
          <w:rFonts w:eastAsiaTheme="minorHAnsi" w:cstheme="minorBidi"/>
          <w:sz w:val="28"/>
          <w:szCs w:val="28"/>
          <w:lang w:val="uk-UA" w:eastAsia="en-US"/>
        </w:rPr>
        <w:t xml:space="preserve">для створення нового дитячого будинку сімейного </w:t>
      </w:r>
      <w:proofErr w:type="spellStart"/>
      <w:r w:rsidRPr="00484075">
        <w:rPr>
          <w:rFonts w:eastAsiaTheme="minorHAnsi" w:cstheme="minorBidi"/>
          <w:sz w:val="28"/>
          <w:szCs w:val="28"/>
          <w:lang w:val="uk-UA" w:eastAsia="en-US"/>
        </w:rPr>
        <w:t>типу.Загальна</w:t>
      </w:r>
      <w:proofErr w:type="spellEnd"/>
      <w:r w:rsidRPr="00484075">
        <w:rPr>
          <w:rFonts w:eastAsiaTheme="minorHAnsi" w:cstheme="minorBidi"/>
          <w:sz w:val="28"/>
          <w:szCs w:val="28"/>
          <w:lang w:val="uk-UA" w:eastAsia="en-US"/>
        </w:rPr>
        <w:t xml:space="preserve"> площа- 306,7 </w:t>
      </w:r>
      <w:proofErr w:type="spellStart"/>
      <w:r w:rsidRPr="00484075">
        <w:rPr>
          <w:rFonts w:eastAsiaTheme="minorHAnsi" w:cstheme="minorBidi"/>
          <w:sz w:val="28"/>
          <w:szCs w:val="28"/>
          <w:lang w:val="uk-UA" w:eastAsia="en-US"/>
        </w:rPr>
        <w:t>м.кв</w:t>
      </w:r>
      <w:proofErr w:type="spellEnd"/>
      <w:r w:rsidRPr="00484075">
        <w:rPr>
          <w:rFonts w:eastAsiaTheme="minorHAnsi" w:cstheme="minorBidi"/>
          <w:sz w:val="28"/>
          <w:szCs w:val="28"/>
          <w:lang w:val="uk-UA" w:eastAsia="en-US"/>
        </w:rPr>
        <w:t xml:space="preserve"> (1 поверх -176.9 </w:t>
      </w:r>
      <w:proofErr w:type="spellStart"/>
      <w:r w:rsidRPr="00484075">
        <w:rPr>
          <w:rFonts w:eastAsiaTheme="minorHAnsi" w:cstheme="minorBidi"/>
          <w:sz w:val="28"/>
          <w:szCs w:val="28"/>
          <w:lang w:val="uk-UA" w:eastAsia="en-US"/>
        </w:rPr>
        <w:t>м.кв</w:t>
      </w:r>
      <w:proofErr w:type="spellEnd"/>
      <w:r w:rsidRPr="00484075">
        <w:rPr>
          <w:rFonts w:eastAsiaTheme="minorHAnsi" w:cstheme="minorBidi"/>
          <w:sz w:val="28"/>
          <w:szCs w:val="28"/>
          <w:lang w:val="uk-UA" w:eastAsia="en-US"/>
        </w:rPr>
        <w:t xml:space="preserve">, підвал -95 </w:t>
      </w:r>
      <w:proofErr w:type="spellStart"/>
      <w:r w:rsidRPr="00484075">
        <w:rPr>
          <w:rFonts w:eastAsiaTheme="minorHAnsi" w:cstheme="minorBidi"/>
          <w:sz w:val="28"/>
          <w:szCs w:val="28"/>
          <w:lang w:val="uk-UA" w:eastAsia="en-US"/>
        </w:rPr>
        <w:t>м.кв</w:t>
      </w:r>
      <w:proofErr w:type="spellEnd"/>
      <w:r w:rsidRPr="00484075">
        <w:rPr>
          <w:rFonts w:eastAsiaTheme="minorHAnsi" w:cstheme="minorBidi"/>
          <w:sz w:val="28"/>
          <w:szCs w:val="28"/>
          <w:lang w:val="uk-UA" w:eastAsia="en-US"/>
        </w:rPr>
        <w:t xml:space="preserve"> , місця загального користування -34,8 м. </w:t>
      </w:r>
      <w:proofErr w:type="spellStart"/>
      <w:r w:rsidRPr="00484075">
        <w:rPr>
          <w:rFonts w:eastAsiaTheme="minorHAnsi" w:cstheme="minorBidi"/>
          <w:sz w:val="28"/>
          <w:szCs w:val="28"/>
          <w:lang w:val="uk-UA" w:eastAsia="en-US"/>
        </w:rPr>
        <w:t>кв</w:t>
      </w:r>
      <w:proofErr w:type="spellEnd"/>
      <w:r w:rsidRPr="00484075">
        <w:rPr>
          <w:rFonts w:eastAsiaTheme="minorHAnsi" w:cstheme="minorBidi"/>
          <w:sz w:val="28"/>
          <w:szCs w:val="28"/>
          <w:lang w:val="uk-UA" w:eastAsia="en-US"/>
        </w:rPr>
        <w:t>) на Омеляновича -Павленка 3 (Печерський р-н) .</w:t>
      </w:r>
    </w:p>
    <w:p w14:paraId="5EDF710D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</w:rPr>
        <w:t>- п.2.5 – 25</w:t>
      </w:r>
      <w:r w:rsidRPr="00B35099">
        <w:rPr>
          <w:sz w:val="28"/>
          <w:szCs w:val="28"/>
          <w:lang w:val="uk-UA"/>
        </w:rPr>
        <w:t xml:space="preserve"> </w:t>
      </w:r>
      <w:r w:rsidRPr="00B35099">
        <w:rPr>
          <w:sz w:val="28"/>
          <w:szCs w:val="28"/>
        </w:rPr>
        <w:t>000,</w:t>
      </w:r>
      <w:r w:rsidRPr="00B35099">
        <w:rPr>
          <w:sz w:val="28"/>
          <w:szCs w:val="28"/>
          <w:lang w:val="uk-UA"/>
        </w:rPr>
        <w:t>0 тис. грн. – приведено у відповідність з бюджетом міста Києва (створення МГБ у Дарницькому р-ні)</w:t>
      </w:r>
    </w:p>
    <w:p w14:paraId="3D00DDC2" w14:textId="090DB51C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- п.5.3 – </w:t>
      </w:r>
      <w:r w:rsidR="00484075">
        <w:rPr>
          <w:sz w:val="28"/>
          <w:szCs w:val="28"/>
          <w:lang w:val="uk-UA"/>
        </w:rPr>
        <w:t>4799,6</w:t>
      </w:r>
      <w:r w:rsidRPr="00B35099">
        <w:rPr>
          <w:sz w:val="28"/>
          <w:szCs w:val="28"/>
          <w:lang w:val="uk-UA"/>
        </w:rPr>
        <w:t xml:space="preserve"> тис. грн. -  збільшення  у зв’язку з приведенням у  відповідність з бюджетом міста.</w:t>
      </w:r>
    </w:p>
    <w:p w14:paraId="654833BD" w14:textId="77777777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>- п.6.1 – 3725,6 - збільшення у зв’язку з приведенням у відповідність з бюджетом міста (капітальний ремонт).</w:t>
      </w:r>
    </w:p>
    <w:p w14:paraId="7B8B86C4" w14:textId="6DB2365F" w:rsidR="00B35099" w:rsidRPr="00B35099" w:rsidRDefault="00B35099" w:rsidP="00B35099">
      <w:pPr>
        <w:ind w:firstLine="567"/>
        <w:jc w:val="both"/>
        <w:rPr>
          <w:sz w:val="28"/>
          <w:szCs w:val="28"/>
          <w:lang w:val="uk-UA"/>
        </w:rPr>
      </w:pPr>
      <w:r w:rsidRPr="00B35099">
        <w:rPr>
          <w:sz w:val="28"/>
          <w:szCs w:val="28"/>
          <w:lang w:val="uk-UA"/>
        </w:rPr>
        <w:t xml:space="preserve">Загальна сума Програми на 2024 </w:t>
      </w:r>
      <w:r w:rsidRPr="00B35099">
        <w:rPr>
          <w:sz w:val="28"/>
          <w:szCs w:val="28"/>
        </w:rPr>
        <w:t xml:space="preserve"> </w:t>
      </w:r>
      <w:r w:rsidRPr="00B35099">
        <w:rPr>
          <w:sz w:val="28"/>
          <w:szCs w:val="28"/>
          <w:lang w:val="uk-UA"/>
        </w:rPr>
        <w:t xml:space="preserve">рік збільшилась на </w:t>
      </w:r>
      <w:r w:rsidR="00484075">
        <w:rPr>
          <w:sz w:val="28"/>
          <w:szCs w:val="28"/>
          <w:lang w:val="uk-UA"/>
        </w:rPr>
        <w:t>70</w:t>
      </w:r>
      <w:r w:rsidRPr="00B35099">
        <w:rPr>
          <w:sz w:val="28"/>
          <w:szCs w:val="28"/>
          <w:lang w:val="uk-UA"/>
        </w:rPr>
        <w:t xml:space="preserve"> </w:t>
      </w:r>
      <w:r w:rsidR="00484075">
        <w:rPr>
          <w:sz w:val="28"/>
          <w:szCs w:val="28"/>
          <w:lang w:val="uk-UA"/>
        </w:rPr>
        <w:t>620</w:t>
      </w:r>
      <w:r w:rsidRPr="00B35099">
        <w:rPr>
          <w:sz w:val="28"/>
          <w:szCs w:val="28"/>
          <w:lang w:val="uk-UA"/>
        </w:rPr>
        <w:t>,</w:t>
      </w:r>
      <w:r w:rsidR="00484075">
        <w:rPr>
          <w:sz w:val="28"/>
          <w:szCs w:val="28"/>
          <w:lang w:val="uk-UA"/>
        </w:rPr>
        <w:t>0</w:t>
      </w:r>
      <w:r w:rsidRPr="00B35099">
        <w:rPr>
          <w:sz w:val="28"/>
          <w:szCs w:val="28"/>
          <w:lang w:val="uk-UA"/>
        </w:rPr>
        <w:t xml:space="preserve">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 xml:space="preserve"> .</w:t>
      </w:r>
    </w:p>
    <w:p w14:paraId="32BDF9ED" w14:textId="7B57F4E1" w:rsidR="00B35099" w:rsidRPr="00B35099" w:rsidRDefault="00B35099" w:rsidP="00B35099">
      <w:pPr>
        <w:ind w:firstLine="567"/>
        <w:jc w:val="both"/>
        <w:rPr>
          <w:b/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 xml:space="preserve">- </w:t>
      </w:r>
      <w:r w:rsidRPr="00B35099">
        <w:rPr>
          <w:sz w:val="28"/>
          <w:szCs w:val="28"/>
          <w:lang w:val="uk-UA"/>
        </w:rPr>
        <w:t>п. 1.1</w:t>
      </w:r>
      <w:r w:rsidRPr="00B35099">
        <w:rPr>
          <w:b/>
          <w:sz w:val="28"/>
          <w:szCs w:val="28"/>
          <w:lang w:val="uk-UA"/>
        </w:rPr>
        <w:t xml:space="preserve"> </w:t>
      </w:r>
      <w:r w:rsidRPr="00B35099">
        <w:rPr>
          <w:sz w:val="28"/>
          <w:szCs w:val="28"/>
          <w:lang w:val="uk-UA"/>
        </w:rPr>
        <w:t>– витрати на 2024 рік –збільшені в порівнянні з 2023 роком на коефіцієнт 1,05, стало 89 436,6 тис. грн.;</w:t>
      </w:r>
    </w:p>
    <w:p w14:paraId="3D29C227" w14:textId="76A1F6CF" w:rsidR="00B35099" w:rsidRPr="00B35099" w:rsidRDefault="00484075" w:rsidP="00B350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35099" w:rsidRPr="00B35099">
        <w:rPr>
          <w:sz w:val="28"/>
          <w:szCs w:val="28"/>
          <w:lang w:val="uk-UA"/>
        </w:rPr>
        <w:t xml:space="preserve">п.2.3 – витрати на 2024 рік –збільшені на 1 000,0 </w:t>
      </w:r>
      <w:proofErr w:type="spellStart"/>
      <w:r w:rsidR="00B35099" w:rsidRPr="00B35099">
        <w:rPr>
          <w:sz w:val="28"/>
          <w:szCs w:val="28"/>
          <w:lang w:val="uk-UA"/>
        </w:rPr>
        <w:t>тис.грн</w:t>
      </w:r>
      <w:proofErr w:type="spellEnd"/>
      <w:r w:rsidR="00B35099" w:rsidRPr="00B35099">
        <w:rPr>
          <w:sz w:val="28"/>
          <w:szCs w:val="28"/>
          <w:lang w:val="uk-UA"/>
        </w:rPr>
        <w:t xml:space="preserve"> – на утримання нового  ДБСТ в Печерському районі </w:t>
      </w:r>
      <w:proofErr w:type="spellStart"/>
      <w:r w:rsidR="00B35099" w:rsidRPr="00B35099">
        <w:rPr>
          <w:sz w:val="28"/>
          <w:szCs w:val="28"/>
          <w:lang w:val="uk-UA"/>
        </w:rPr>
        <w:t>м.Києва</w:t>
      </w:r>
      <w:proofErr w:type="spellEnd"/>
      <w:r w:rsidR="00B35099" w:rsidRPr="00B35099">
        <w:rPr>
          <w:sz w:val="28"/>
          <w:szCs w:val="28"/>
          <w:lang w:val="uk-UA"/>
        </w:rPr>
        <w:t>.</w:t>
      </w:r>
    </w:p>
    <w:p w14:paraId="060A2FD5" w14:textId="65A0675A" w:rsidR="00B35099" w:rsidRPr="00B35099" w:rsidRDefault="00B35099" w:rsidP="00B35099">
      <w:pPr>
        <w:ind w:firstLine="567"/>
        <w:jc w:val="both"/>
        <w:rPr>
          <w:b/>
          <w:sz w:val="28"/>
          <w:szCs w:val="28"/>
          <w:lang w:val="uk-UA"/>
        </w:rPr>
      </w:pPr>
      <w:r w:rsidRPr="00B35099">
        <w:rPr>
          <w:b/>
          <w:sz w:val="28"/>
          <w:szCs w:val="28"/>
          <w:lang w:val="uk-UA"/>
        </w:rPr>
        <w:t>-</w:t>
      </w:r>
      <w:r w:rsidRPr="00B35099">
        <w:rPr>
          <w:sz w:val="28"/>
          <w:szCs w:val="28"/>
          <w:lang w:val="uk-UA"/>
        </w:rPr>
        <w:t xml:space="preserve"> п.5.3 -  витрати на 2024 рік –збільшені в порівнянні з 2023 роком на коефіцієнт 1,05, стало 105 722,9 </w:t>
      </w:r>
      <w:proofErr w:type="spellStart"/>
      <w:r w:rsidRPr="00B35099">
        <w:rPr>
          <w:sz w:val="28"/>
          <w:szCs w:val="28"/>
          <w:lang w:val="uk-UA"/>
        </w:rPr>
        <w:t>тис.грн</w:t>
      </w:r>
      <w:proofErr w:type="spellEnd"/>
      <w:r w:rsidRPr="00B35099">
        <w:rPr>
          <w:sz w:val="28"/>
          <w:szCs w:val="28"/>
          <w:lang w:val="uk-UA"/>
        </w:rPr>
        <w:t>.</w:t>
      </w:r>
    </w:p>
    <w:p w14:paraId="31021159" w14:textId="7D26C708" w:rsidR="00983710" w:rsidRPr="00B35099" w:rsidRDefault="00983710" w:rsidP="00B35099">
      <w:pPr>
        <w:ind w:firstLine="567"/>
        <w:jc w:val="both"/>
        <w:rPr>
          <w:sz w:val="28"/>
          <w:lang w:val="uk-UA" w:eastAsia="ja-JP"/>
        </w:rPr>
      </w:pPr>
    </w:p>
    <w:p w14:paraId="12A52D5F" w14:textId="77777777" w:rsidR="00E00FDB" w:rsidRDefault="00E00FDB" w:rsidP="00B35099">
      <w:pPr>
        <w:pStyle w:val="a5"/>
        <w:numPr>
          <w:ilvl w:val="0"/>
          <w:numId w:val="1"/>
        </w:numPr>
        <w:jc w:val="both"/>
        <w:rPr>
          <w:b/>
          <w:sz w:val="28"/>
          <w:lang w:val="uk-UA" w:eastAsia="ja-JP"/>
        </w:rPr>
      </w:pPr>
      <w:r>
        <w:rPr>
          <w:b/>
          <w:sz w:val="28"/>
          <w:lang w:val="uk-UA" w:eastAsia="ja-JP"/>
        </w:rPr>
        <w:t>Регіональний аспект</w:t>
      </w:r>
    </w:p>
    <w:p w14:paraId="12A52D60" w14:textId="77777777" w:rsidR="00E00FDB" w:rsidRDefault="00E00FDB" w:rsidP="00B35099">
      <w:pPr>
        <w:pStyle w:val="a5"/>
        <w:jc w:val="both"/>
        <w:rPr>
          <w:b/>
          <w:sz w:val="28"/>
          <w:lang w:val="uk-UA" w:eastAsia="ja-JP"/>
        </w:rPr>
      </w:pPr>
    </w:p>
    <w:p w14:paraId="12A52D61" w14:textId="77777777" w:rsidR="00E00FDB" w:rsidRDefault="00E00FDB" w:rsidP="00B35099">
      <w:pPr>
        <w:pStyle w:val="a3"/>
        <w:ind w:firstLine="708"/>
        <w:rPr>
          <w:sz w:val="28"/>
          <w:szCs w:val="28"/>
        </w:rPr>
      </w:pPr>
      <w:r>
        <w:rPr>
          <w:sz w:val="28"/>
          <w:lang w:eastAsia="ja-JP"/>
        </w:rPr>
        <w:t xml:space="preserve">Дане рішення </w:t>
      </w:r>
      <w:r>
        <w:rPr>
          <w:sz w:val="28"/>
          <w:szCs w:val="28"/>
        </w:rPr>
        <w:t>не стосується питань розвитку адміністративно-територіальної одиниці.</w:t>
      </w:r>
    </w:p>
    <w:p w14:paraId="12A52D62" w14:textId="77777777" w:rsidR="00056524" w:rsidRDefault="00056524" w:rsidP="00B35099">
      <w:pPr>
        <w:pStyle w:val="a3"/>
        <w:ind w:firstLine="708"/>
        <w:rPr>
          <w:sz w:val="28"/>
          <w:szCs w:val="28"/>
        </w:rPr>
      </w:pPr>
    </w:p>
    <w:p w14:paraId="12A52D63" w14:textId="77777777" w:rsidR="00E00FDB" w:rsidRDefault="00E00FDB" w:rsidP="00B35099">
      <w:pPr>
        <w:pStyle w:val="a3"/>
        <w:numPr>
          <w:ilvl w:val="0"/>
          <w:numId w:val="1"/>
        </w:numPr>
        <w:rPr>
          <w:b/>
          <w:sz w:val="28"/>
          <w:lang w:eastAsia="ja-JP"/>
        </w:rPr>
      </w:pPr>
      <w:r>
        <w:rPr>
          <w:b/>
          <w:sz w:val="28"/>
          <w:lang w:eastAsia="ja-JP"/>
        </w:rPr>
        <w:t>Громадське обговорення</w:t>
      </w:r>
    </w:p>
    <w:p w14:paraId="12A52D64" w14:textId="77777777" w:rsidR="00E00FDB" w:rsidRDefault="00E00FDB" w:rsidP="00B35099">
      <w:pPr>
        <w:pStyle w:val="a5"/>
        <w:jc w:val="both"/>
        <w:rPr>
          <w:b/>
          <w:sz w:val="28"/>
          <w:lang w:val="uk-UA" w:eastAsia="ja-JP"/>
        </w:rPr>
      </w:pPr>
    </w:p>
    <w:p w14:paraId="12A52D65" w14:textId="77777777" w:rsidR="00E00FDB" w:rsidRDefault="0044276F" w:rsidP="00B35099">
      <w:pPr>
        <w:ind w:firstLine="708"/>
        <w:jc w:val="both"/>
        <w:rPr>
          <w:sz w:val="28"/>
          <w:lang w:val="uk-UA" w:eastAsia="ja-JP"/>
        </w:rPr>
      </w:pPr>
      <w:r>
        <w:rPr>
          <w:sz w:val="28"/>
          <w:lang w:val="uk-UA" w:eastAsia="ja-JP"/>
        </w:rPr>
        <w:t xml:space="preserve">Даний </w:t>
      </w:r>
      <w:proofErr w:type="spellStart"/>
      <w:r>
        <w:rPr>
          <w:sz w:val="28"/>
          <w:lang w:val="uk-UA" w:eastAsia="ja-JP"/>
        </w:rPr>
        <w:t>проєкт</w:t>
      </w:r>
      <w:proofErr w:type="spellEnd"/>
      <w:r>
        <w:rPr>
          <w:sz w:val="28"/>
          <w:lang w:val="uk-UA" w:eastAsia="ja-JP"/>
        </w:rPr>
        <w:t xml:space="preserve"> рішення не потребує громадського обговорення.</w:t>
      </w:r>
    </w:p>
    <w:p w14:paraId="12A52D66" w14:textId="77777777" w:rsidR="00E00FDB" w:rsidRDefault="00E00FDB" w:rsidP="00B35099">
      <w:pPr>
        <w:jc w:val="both"/>
        <w:rPr>
          <w:sz w:val="28"/>
          <w:highlight w:val="yellow"/>
          <w:lang w:val="uk-UA" w:eastAsia="ja-JP"/>
        </w:rPr>
      </w:pPr>
    </w:p>
    <w:p w14:paraId="12A52D67" w14:textId="77777777" w:rsidR="00E00FDB" w:rsidRDefault="00E00FDB" w:rsidP="00B35099">
      <w:pPr>
        <w:pStyle w:val="a5"/>
        <w:numPr>
          <w:ilvl w:val="0"/>
          <w:numId w:val="1"/>
        </w:numPr>
        <w:jc w:val="both"/>
        <w:rPr>
          <w:b/>
          <w:sz w:val="28"/>
          <w:lang w:val="uk-UA" w:eastAsia="ja-JP"/>
        </w:rPr>
      </w:pPr>
      <w:r>
        <w:rPr>
          <w:b/>
          <w:sz w:val="28"/>
          <w:lang w:val="uk-UA" w:eastAsia="ja-JP"/>
        </w:rPr>
        <w:t>Прогноз результатів</w:t>
      </w:r>
    </w:p>
    <w:p w14:paraId="12A52D68" w14:textId="77777777" w:rsidR="00E00FDB" w:rsidRDefault="00E00FDB" w:rsidP="00B35099">
      <w:pPr>
        <w:pStyle w:val="a5"/>
        <w:jc w:val="both"/>
        <w:rPr>
          <w:b/>
          <w:sz w:val="28"/>
          <w:lang w:val="uk-UA" w:eastAsia="ja-JP"/>
        </w:rPr>
      </w:pPr>
    </w:p>
    <w:p w14:paraId="12A52D69" w14:textId="46543BB6" w:rsidR="00E00FDB" w:rsidRDefault="00E00FDB" w:rsidP="00B3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Результатом прийняття даного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є </w:t>
      </w:r>
      <w:r w:rsidR="00AA7119">
        <w:rPr>
          <w:sz w:val="28"/>
          <w:szCs w:val="28"/>
          <w:lang w:val="uk-UA"/>
        </w:rPr>
        <w:t>внесення</w:t>
      </w:r>
      <w:r>
        <w:rPr>
          <w:sz w:val="28"/>
          <w:szCs w:val="28"/>
          <w:lang w:val="uk-UA"/>
        </w:rPr>
        <w:t xml:space="preserve"> змін до міської цільової прогр</w:t>
      </w:r>
      <w:r w:rsidR="00AA7119">
        <w:rPr>
          <w:sz w:val="28"/>
          <w:szCs w:val="28"/>
          <w:lang w:val="uk-UA"/>
        </w:rPr>
        <w:t>ами «Діти. Сім’я. Столиця на 2022-</w:t>
      </w:r>
      <w:r>
        <w:rPr>
          <w:sz w:val="28"/>
          <w:szCs w:val="28"/>
          <w:lang w:val="uk-UA"/>
        </w:rPr>
        <w:t>202</w:t>
      </w:r>
      <w:r w:rsidR="00AA71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роки» з метою забезпечення </w:t>
      </w:r>
      <w:r w:rsidRPr="00E00FDB">
        <w:rPr>
          <w:sz w:val="28"/>
          <w:szCs w:val="28"/>
          <w:lang w:val="uk-UA"/>
        </w:rPr>
        <w:t>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піклування.</w:t>
      </w:r>
      <w:r w:rsidRPr="00E00FD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</w:p>
    <w:p w14:paraId="2883A164" w14:textId="1DC70F76" w:rsidR="00AA7119" w:rsidRDefault="00AA7119" w:rsidP="00B35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Прийняття зазначеного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рішення </w:t>
      </w:r>
      <w:r>
        <w:rPr>
          <w:sz w:val="28"/>
          <w:szCs w:val="28"/>
          <w:lang w:val="uk-UA"/>
        </w:rPr>
        <w:t>дасть змогу привести фінансові показники Програми у відповідніст</w:t>
      </w:r>
      <w:r w:rsidR="00983710">
        <w:rPr>
          <w:sz w:val="28"/>
          <w:szCs w:val="28"/>
          <w:lang w:val="uk-UA"/>
        </w:rPr>
        <w:t>ь до бюджету міста Києва на 2023</w:t>
      </w:r>
      <w:r>
        <w:rPr>
          <w:sz w:val="28"/>
          <w:szCs w:val="28"/>
          <w:lang w:val="uk-UA"/>
        </w:rPr>
        <w:t xml:space="preserve"> рік.</w:t>
      </w:r>
    </w:p>
    <w:p w14:paraId="12A52D6A" w14:textId="77777777" w:rsidR="00E00FDB" w:rsidRDefault="00E00FDB" w:rsidP="00B350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C9197EC" w14:textId="66F50DEB" w:rsidR="00E13B35" w:rsidRDefault="00E13B35" w:rsidP="00B35099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Про інформацію з обмеженим доступом</w:t>
      </w:r>
    </w:p>
    <w:p w14:paraId="124AC8B5" w14:textId="5A027516" w:rsidR="00E13B35" w:rsidRDefault="00E13B35" w:rsidP="00E13B3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lang w:val="uk-UA"/>
        </w:rPr>
      </w:pPr>
    </w:p>
    <w:p w14:paraId="3B55276C" w14:textId="1C38F22B" w:rsidR="00E13B35" w:rsidRPr="00E13B35" w:rsidRDefault="00E13B35" w:rsidP="00E13B3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proofErr w:type="spellStart"/>
      <w:r w:rsidRPr="00E13B35">
        <w:rPr>
          <w:sz w:val="28"/>
          <w:lang w:val="uk-UA"/>
        </w:rPr>
        <w:t>Проєкт</w:t>
      </w:r>
      <w:proofErr w:type="spellEnd"/>
      <w:r w:rsidRPr="00E13B35">
        <w:rPr>
          <w:sz w:val="28"/>
          <w:lang w:val="uk-UA"/>
        </w:rPr>
        <w:t xml:space="preserve"> рішення не містить інформації з обмеженим доступом</w:t>
      </w:r>
      <w:r>
        <w:rPr>
          <w:sz w:val="28"/>
          <w:lang w:val="uk-UA"/>
        </w:rPr>
        <w:t>.</w:t>
      </w:r>
    </w:p>
    <w:p w14:paraId="1CA5AA47" w14:textId="77777777" w:rsidR="00E13B35" w:rsidRDefault="00E13B35" w:rsidP="00E13B35">
      <w:pPr>
        <w:pStyle w:val="a5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uk-UA"/>
        </w:rPr>
      </w:pPr>
    </w:p>
    <w:p w14:paraId="12A52D6B" w14:textId="04A4A4DB" w:rsidR="00E00FDB" w:rsidRDefault="00E00FDB" w:rsidP="00B35099">
      <w:pPr>
        <w:pStyle w:val="a5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Доповідач</w:t>
      </w:r>
    </w:p>
    <w:p w14:paraId="12A52D6C" w14:textId="77777777" w:rsidR="00E00FDB" w:rsidRDefault="00E00FDB" w:rsidP="00B3509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uk-UA"/>
        </w:rPr>
      </w:pPr>
    </w:p>
    <w:p w14:paraId="12A52D6D" w14:textId="1CBAB616" w:rsidR="00E00FDB" w:rsidRDefault="00E00FDB" w:rsidP="00B3509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Доповідач на пленарному засіданні та особа відповідальна за супрово</w:t>
      </w:r>
      <w:r w:rsidR="00AA7119">
        <w:rPr>
          <w:sz w:val="28"/>
          <w:lang w:val="uk-UA"/>
        </w:rPr>
        <w:t xml:space="preserve">дження даного </w:t>
      </w:r>
      <w:proofErr w:type="spellStart"/>
      <w:r w:rsidR="00AA7119">
        <w:rPr>
          <w:sz w:val="28"/>
          <w:lang w:val="uk-UA"/>
        </w:rPr>
        <w:t>проєкту</w:t>
      </w:r>
      <w:proofErr w:type="spellEnd"/>
      <w:r w:rsidR="00AA7119">
        <w:rPr>
          <w:sz w:val="28"/>
          <w:lang w:val="uk-UA"/>
        </w:rPr>
        <w:t xml:space="preserve"> рішення – </w:t>
      </w:r>
      <w:r>
        <w:rPr>
          <w:sz w:val="28"/>
          <w:lang w:val="uk-UA"/>
        </w:rPr>
        <w:t>начальник Служби у справах дітей та сім’ї виконавчого органу Київської міської ради (Київської міської державної адміністрації) Валерій Танцюра, тел.484-05-25.</w:t>
      </w:r>
    </w:p>
    <w:p w14:paraId="12A52D6E" w14:textId="77777777" w:rsidR="00E00FDB" w:rsidRDefault="00E00FDB" w:rsidP="00B35099">
      <w:pPr>
        <w:tabs>
          <w:tab w:val="left" w:pos="1832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12A52D6F" w14:textId="77777777" w:rsidR="00E00FDB" w:rsidRDefault="00E00FDB" w:rsidP="00B35099">
      <w:pPr>
        <w:tabs>
          <w:tab w:val="left" w:pos="1832"/>
        </w:tabs>
        <w:rPr>
          <w:sz w:val="28"/>
          <w:lang w:val="uk-UA"/>
        </w:rPr>
      </w:pPr>
    </w:p>
    <w:p w14:paraId="12A52D75" w14:textId="12D98CEB" w:rsidR="001162E6" w:rsidRPr="00AA7119" w:rsidRDefault="00E00FDB" w:rsidP="00B35099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Начальник Служби у справах дітей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сім</w:t>
      </w:r>
      <w:proofErr w:type="spellEnd"/>
      <w:r>
        <w:rPr>
          <w:sz w:val="28"/>
          <w:lang w:val="uk-UA"/>
        </w:rPr>
        <w:t>’</w:t>
      </w:r>
      <w:r>
        <w:rPr>
          <w:sz w:val="28"/>
        </w:rPr>
        <w:t>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Валерій ТАНЦЮРА</w:t>
      </w:r>
    </w:p>
    <w:sectPr w:rsidR="001162E6" w:rsidRPr="00AA7119" w:rsidSect="00116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C6A"/>
    <w:multiLevelType w:val="hybridMultilevel"/>
    <w:tmpl w:val="413C2B48"/>
    <w:lvl w:ilvl="0" w:tplc="BFE43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040D68"/>
    <w:multiLevelType w:val="hybridMultilevel"/>
    <w:tmpl w:val="AA4A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DB"/>
    <w:rsid w:val="00056524"/>
    <w:rsid w:val="001162E6"/>
    <w:rsid w:val="00180E16"/>
    <w:rsid w:val="00287BF2"/>
    <w:rsid w:val="002B70EF"/>
    <w:rsid w:val="003239CB"/>
    <w:rsid w:val="003D18E8"/>
    <w:rsid w:val="0044276F"/>
    <w:rsid w:val="00454B26"/>
    <w:rsid w:val="00484075"/>
    <w:rsid w:val="005349D9"/>
    <w:rsid w:val="005C350F"/>
    <w:rsid w:val="007D7B8F"/>
    <w:rsid w:val="0081610B"/>
    <w:rsid w:val="00983710"/>
    <w:rsid w:val="009D635A"/>
    <w:rsid w:val="009F43BC"/>
    <w:rsid w:val="00AA7119"/>
    <w:rsid w:val="00AB3FB2"/>
    <w:rsid w:val="00B35099"/>
    <w:rsid w:val="00BE4284"/>
    <w:rsid w:val="00E00FDB"/>
    <w:rsid w:val="00E13B35"/>
    <w:rsid w:val="00EA7CB5"/>
    <w:rsid w:val="00F52D7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2D45"/>
  <w15:docId w15:val="{18CD649E-9CE6-40D4-BCE9-171604F3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00FDB"/>
    <w:pPr>
      <w:ind w:firstLine="720"/>
      <w:jc w:val="both"/>
    </w:pPr>
    <w:rPr>
      <w:rFonts w:eastAsia="MS Mincho"/>
      <w:sz w:val="26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E00FDB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00FDB"/>
    <w:pPr>
      <w:ind w:left="720"/>
      <w:contextualSpacing/>
    </w:pPr>
  </w:style>
  <w:style w:type="paragraph" w:customStyle="1" w:styleId="tj">
    <w:name w:val="tj"/>
    <w:basedOn w:val="a"/>
    <w:rsid w:val="00E00FDB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13B3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3B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4915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tamara.misiura</dc:creator>
  <cp:keywords/>
  <dc:description/>
  <cp:lastModifiedBy>Бадилевич Тетяна Миколаївна</cp:lastModifiedBy>
  <cp:revision>15</cp:revision>
  <cp:lastPrinted>2023-05-08T13:53:00Z</cp:lastPrinted>
  <dcterms:created xsi:type="dcterms:W3CDTF">2023-01-23T10:36:00Z</dcterms:created>
  <dcterms:modified xsi:type="dcterms:W3CDTF">2023-05-08T13:53:00Z</dcterms:modified>
</cp:coreProperties>
</file>