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C7" w:rsidRPr="005E05C7" w:rsidRDefault="005E05C7" w:rsidP="005E05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bookmarkStart w:id="0" w:name="_GoBack"/>
      <w:bookmarkEnd w:id="0"/>
      <w:r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ПОЯСНЮВАЛЬНА ЗАПИСКА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до проєкту рішення Київської міської ради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«Про затвердження плану роботи Київської міської ради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val="ru-RU" w:eastAsia="zh-CN" w:bidi="hi-IN"/>
        </w:rPr>
        <w:t xml:space="preserve"> 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на 202</w:t>
      </w:r>
      <w:r w:rsidR="00B23584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5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рік»</w:t>
      </w:r>
    </w:p>
    <w:p w:rsidR="005E05C7" w:rsidRPr="005E05C7" w:rsidRDefault="005E05C7" w:rsidP="005E05C7">
      <w:pPr>
        <w:widowControl w:val="0"/>
        <w:suppressAutoHyphens/>
        <w:spacing w:before="24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1.</w:t>
      </w:r>
      <w:r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Обґрунтування необхідності прийняття рішення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Проєкт рішення Київської міської ради підготовлений відповідно 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до пункту 7 частини першої статті 26 Закону України «Про місцеве самоврядування в Україні» та статті 24 Регламенту Київської міської ради, затвердженого рішенням Київської міської ради від 04.11.2021 № 3135/3176, а також враховуючи подання апарату виконавчого органу Київської міської ради (Київської міської державної адміністрації) та постійних комісій Київської міської ради, внесені у строки, передбачені розпорядженням Київського міського голови від </w:t>
      </w:r>
      <w:r w:rsidR="00B23584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23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.12.202</w:t>
      </w:r>
      <w:r w:rsidR="00B23584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№ </w:t>
      </w:r>
      <w:r w:rsidR="00B23584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1254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«Про організаційні заходи щодо підготовки плану роботи Київської міської ради на 202</w:t>
      </w:r>
      <w:r w:rsidR="00B23584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рік».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Необхідність прийняття рішення обумовлена тим, що Київська міська рада здійснює свою діяльність відповідно до плану роботи, який визначає напрями діяльності Київської міської ради та її органів.</w:t>
      </w:r>
    </w:p>
    <w:p w:rsidR="005E05C7" w:rsidRPr="005E05C7" w:rsidRDefault="005E05C7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2.</w:t>
      </w:r>
      <w:r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Мета прийняття рішення</w:t>
      </w:r>
    </w:p>
    <w:p w:rsidR="00336E9E" w:rsidRDefault="005E05C7" w:rsidP="00386B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Метою прийняття проєкту рішення є забезпечення належного планування діяльності Київської міської ради та її органів із здійснення в інтересах територіальної громади міста Києва функцій і повноважень місцевого самоврядування.</w:t>
      </w:r>
    </w:p>
    <w:p w:rsidR="00386B6F" w:rsidRPr="00386B6F" w:rsidRDefault="00336E9E" w:rsidP="00386B6F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 w:rsidRPr="00336E9E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3.</w:t>
      </w:r>
      <w:r w:rsidRPr="00336E9E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</w:r>
      <w:r w:rsidR="00386B6F" w:rsidRPr="00386B6F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Інформація про фізичну особу (персональні дані)</w:t>
      </w:r>
    </w:p>
    <w:p w:rsidR="00336E9E" w:rsidRPr="005E05C7" w:rsidRDefault="00386B6F" w:rsidP="00386B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386B6F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Цей проєкт рішення Київської міської ради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5E05C7" w:rsidRPr="005E05C7" w:rsidRDefault="00386B6F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4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Загальна характеристика та основні положення проєкту рішення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Проєкт рішення Київської міської ради складається з преамбули та чотирьох пунктів.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Пунктом 1 проєкту рішення передбачається затвердити план роботи Київської міської ради на 202</w:t>
      </w:r>
      <w:r w:rsidR="004009AC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5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рік.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Пунктом 2 проєкту рішення на секретаріат Київської міської ради, постійні комісії Київської міської ради та 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виконавчий орган Київської міської ради (Київської міської державної адміністрації) 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покладається організація виконання плану роботи на 202</w:t>
      </w:r>
      <w:r w:rsidR="004009AC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5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рік.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Пунктом 3 проєкту рішення передбачається оп</w:t>
      </w:r>
      <w:r w:rsidRPr="005E05C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рилюднення рішення у встановленому порядку.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Пунктом 4 контроль за його виконанням покладається на заступника міського голови - секретаря Київської міської ради.</w:t>
      </w:r>
    </w:p>
    <w:p w:rsidR="005E05C7" w:rsidRPr="005E05C7" w:rsidRDefault="00386B6F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5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Інформація про те, чи містить проєкт рішення інформацію з обмеженим доступом.</w:t>
      </w:r>
    </w:p>
    <w:p w:rsidR="005E05C7" w:rsidRPr="005E05C7" w:rsidRDefault="005E05C7" w:rsidP="00386B6F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Зазначений проєкт рішення Київської міської ради не містить інформації з 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lastRenderedPageBreak/>
        <w:t>обмеженим доступом у розумінні статті 6 Закону України «Про доступ до публічної інформації».</w:t>
      </w:r>
    </w:p>
    <w:p w:rsidR="005E05C7" w:rsidRPr="005E05C7" w:rsidRDefault="00386B6F" w:rsidP="005E05C7">
      <w:pPr>
        <w:widowControl w:val="0"/>
        <w:tabs>
          <w:tab w:val="left" w:pos="1560"/>
        </w:tabs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6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категорії.</w:t>
      </w:r>
    </w:p>
    <w:p w:rsidR="005E05C7" w:rsidRPr="005E05C7" w:rsidRDefault="005E05C7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Зазначений проєкт рішення не стосується прав і соціальної захищеності осіб з інвалідністю та не має вплив на життєдіяльність цієї категорії.</w:t>
      </w:r>
    </w:p>
    <w:p w:rsidR="005E05C7" w:rsidRPr="005E05C7" w:rsidRDefault="00386B6F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7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Стан нормативно-правової бази у цій сфері правового регулювання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-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ab/>
        <w:t>Закон України «Про місцеве самоврядування в Україні».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-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ab/>
        <w:t>Рішення Київської міської ради від 04.11.2021 № 3135/3176 «Про Регламент Київської міської ради».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-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ab/>
        <w:t xml:space="preserve">Розпорядження Київського міського голови від </w:t>
      </w:r>
      <w:r w:rsidR="004009AC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23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.12.202</w:t>
      </w:r>
      <w:r w:rsidR="004009AC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4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№ </w:t>
      </w:r>
      <w:r w:rsidR="004009AC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1254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«Про організаційні заходи щодо підготовки плану роботи Київської міської ради на 202</w:t>
      </w:r>
      <w:r w:rsidR="004009AC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5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рік».</w:t>
      </w:r>
    </w:p>
    <w:p w:rsidR="005E05C7" w:rsidRPr="005E05C7" w:rsidRDefault="00386B6F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8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Фінансово-економічне обґрунтування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Прийняття цього рішення не потребує додаткового фінансування з міського бюджету.</w:t>
      </w:r>
    </w:p>
    <w:p w:rsidR="005E05C7" w:rsidRPr="005E05C7" w:rsidRDefault="00386B6F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9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Прогноз соціально-економічних та інших наслідків прийняття рішення</w:t>
      </w:r>
    </w:p>
    <w:p w:rsidR="005E05C7" w:rsidRPr="005E05C7" w:rsidRDefault="005E05C7" w:rsidP="005E0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Прийняття цього рішення сприятиме забезпеченню планового характеру діяльності Київської міської ради та її органів, а також підвищенню прозорості роботи представницького органу місцевого самоврядування м. Києва.</w:t>
      </w:r>
    </w:p>
    <w:p w:rsidR="005E05C7" w:rsidRPr="005E05C7" w:rsidRDefault="00386B6F" w:rsidP="005E05C7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4"/>
          <w:lang w:val="en-US" w:eastAsia="zh-CN" w:bidi="hi-IN"/>
        </w:rPr>
        <w:t>10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>.</w:t>
      </w:r>
      <w:r w:rsidR="005E05C7" w:rsidRPr="005E05C7">
        <w:rPr>
          <w:rFonts w:ascii="Times New Roman" w:eastAsia="SimSun" w:hAnsi="Times New Roman" w:cs="Mangal"/>
          <w:b/>
          <w:kern w:val="2"/>
          <w:sz w:val="28"/>
          <w:szCs w:val="24"/>
          <w:lang w:eastAsia="zh-CN" w:bidi="hi-IN"/>
        </w:rPr>
        <w:tab/>
        <w:t>Суб’єкт подання проєкту рішення, відповідальний за супроводження та доповідач на пленарному засіданні</w:t>
      </w:r>
    </w:p>
    <w:p w:rsidR="005E05C7" w:rsidRPr="003673D6" w:rsidRDefault="005E05C7" w:rsidP="005E05C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zh-CN" w:bidi="hi-IN"/>
        </w:rPr>
      </w:pPr>
      <w:r w:rsidRPr="003673D6"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zh-CN" w:bidi="hi-IN"/>
        </w:rPr>
        <w:t>Суб’єктом подання проєкту рішення та доповідачем під час пленарного засідання Київської міської ради є заступник міського голови – секретар Київської міської ради Бонд</w:t>
      </w:r>
      <w:r w:rsidR="0062745A"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zh-CN" w:bidi="hi-IN"/>
        </w:rPr>
        <w:t>аренко Володимир Володимирович.</w:t>
      </w:r>
    </w:p>
    <w:p w:rsidR="005E05C7" w:rsidRPr="005E05C7" w:rsidRDefault="005E05C7" w:rsidP="005E05C7">
      <w:pPr>
        <w:widowControl w:val="0"/>
        <w:suppressAutoHyphens/>
        <w:spacing w:before="720"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Заступник міського голови –</w:t>
      </w:r>
    </w:p>
    <w:p w:rsidR="00A05287" w:rsidRPr="00386B6F" w:rsidRDefault="005E05C7" w:rsidP="00386B6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секретар Київської міської ради</w:t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ab/>
      </w:r>
      <w:r w:rsidRPr="005E05C7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ab/>
        <w:t xml:space="preserve">                   Володимир БОНДАРЕНКО</w:t>
      </w:r>
    </w:p>
    <w:sectPr w:rsidR="00A05287" w:rsidRPr="00386B6F" w:rsidSect="005E0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C7"/>
    <w:rsid w:val="00336E9E"/>
    <w:rsid w:val="003673D6"/>
    <w:rsid w:val="00386B6F"/>
    <w:rsid w:val="003E45FA"/>
    <w:rsid w:val="004009AC"/>
    <w:rsid w:val="004B71BA"/>
    <w:rsid w:val="005E05C7"/>
    <w:rsid w:val="0062745A"/>
    <w:rsid w:val="00A05287"/>
    <w:rsid w:val="00B23584"/>
    <w:rsid w:val="00C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AE9A-BAFE-4EA2-8158-A689F4B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Вікторія Вікторівна</dc:creator>
  <cp:keywords/>
  <dc:description/>
  <cp:lastModifiedBy>Павлов Юрій Сергійович</cp:lastModifiedBy>
  <cp:revision>2</cp:revision>
  <dcterms:created xsi:type="dcterms:W3CDTF">2025-02-11T09:02:00Z</dcterms:created>
  <dcterms:modified xsi:type="dcterms:W3CDTF">2025-02-11T09:02:00Z</dcterms:modified>
</cp:coreProperties>
</file>