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281" w:rsidRPr="00262281" w:rsidRDefault="00262281" w:rsidP="00793E40">
      <w:pPr>
        <w:suppressAutoHyphens w:val="0"/>
        <w:spacing w:after="0" w:line="240" w:lineRule="auto"/>
        <w:ind w:left="2284" w:right="2450"/>
        <w:jc w:val="center"/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  <w:lang w:eastAsia="ru-RU"/>
        </w:rPr>
      </w:pPr>
      <w:r w:rsidRPr="00262281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  <w:lang w:eastAsia="ru-RU"/>
        </w:rPr>
        <w:t>Пояснювальна</w:t>
      </w:r>
      <w:r w:rsidRPr="00262281">
        <w:rPr>
          <w:rFonts w:ascii="Times New Roman" w:eastAsia="Times New Roman" w:hAnsi="Times New Roman" w:cs="Times New Roman"/>
          <w:b/>
          <w:color w:val="auto"/>
          <w:spacing w:val="-10"/>
          <w:w w:val="105"/>
          <w:sz w:val="28"/>
          <w:szCs w:val="28"/>
          <w:lang w:eastAsia="ru-RU"/>
        </w:rPr>
        <w:t xml:space="preserve"> </w:t>
      </w:r>
      <w:r w:rsidRPr="00262281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  <w:lang w:eastAsia="ru-RU"/>
        </w:rPr>
        <w:t>записка</w:t>
      </w:r>
    </w:p>
    <w:p w:rsidR="00262281" w:rsidRPr="00262281" w:rsidRDefault="00262281" w:rsidP="00793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28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до </w:t>
      </w:r>
      <w:proofErr w:type="spellStart"/>
      <w:r w:rsidRPr="0026228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проєкту</w:t>
      </w:r>
      <w:proofErr w:type="spellEnd"/>
      <w:r w:rsidRPr="0026228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рішення Київської міської ради «</w:t>
      </w:r>
      <w:r w:rsidR="00BF72C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Про з</w:t>
      </w:r>
      <w:r w:rsidR="00BF72C5" w:rsidRPr="00BF72C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вернення </w:t>
      </w:r>
      <w:r w:rsidR="009D7D4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Київської міської ради </w:t>
      </w:r>
      <w:r w:rsidR="00BF72C5" w:rsidRPr="00BF72C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до Кабінету Міністрів України щодо внесення змін до  Порядку виконання повноважень Державною казначейською службою в особливому режимі в умовах воєнного стану, затвердженого постановою Кабінету Міністрів України від 09.06.2021 № 590</w:t>
      </w:r>
      <w:r w:rsidR="00BF72C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(далі –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рішення)</w:t>
      </w:r>
    </w:p>
    <w:p w:rsidR="00072812" w:rsidRPr="00262281" w:rsidRDefault="00072812" w:rsidP="0026228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262281" w:rsidRDefault="00262281" w:rsidP="00262281">
      <w:pPr>
        <w:widowControl w:val="0"/>
        <w:tabs>
          <w:tab w:val="left" w:pos="945"/>
        </w:tabs>
        <w:suppressAutoHyphens w:val="0"/>
        <w:autoSpaceDE w:val="0"/>
        <w:autoSpaceDN w:val="0"/>
        <w:spacing w:before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w w:val="105"/>
          <w:position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 xml:space="preserve">1. </w:t>
      </w:r>
      <w:r w:rsidRPr="00262281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>О</w:t>
      </w:r>
      <w:r w:rsidR="00CC131A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>бґ</w:t>
      </w:r>
      <w:r w:rsidRPr="00262281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>рунтування</w:t>
      </w:r>
      <w:r w:rsidRPr="00262281">
        <w:rPr>
          <w:rFonts w:ascii="Times New Roman" w:eastAsia="Times New Roman" w:hAnsi="Times New Roman" w:cs="Times New Roman"/>
          <w:b/>
          <w:color w:val="auto"/>
          <w:spacing w:val="16"/>
          <w:w w:val="105"/>
          <w:sz w:val="28"/>
          <w:szCs w:val="28"/>
        </w:rPr>
        <w:t xml:space="preserve"> </w:t>
      </w:r>
      <w:r w:rsidRPr="00262281">
        <w:rPr>
          <w:rFonts w:ascii="Times New Roman" w:eastAsia="Times New Roman" w:hAnsi="Times New Roman" w:cs="Times New Roman"/>
          <w:b/>
          <w:color w:val="auto"/>
          <w:w w:val="105"/>
          <w:position w:val="1"/>
          <w:sz w:val="28"/>
          <w:szCs w:val="28"/>
        </w:rPr>
        <w:t>необхідності</w:t>
      </w:r>
      <w:r w:rsidRPr="00262281">
        <w:rPr>
          <w:rFonts w:ascii="Times New Roman" w:eastAsia="Times New Roman" w:hAnsi="Times New Roman" w:cs="Times New Roman"/>
          <w:b/>
          <w:color w:val="auto"/>
          <w:spacing w:val="6"/>
          <w:w w:val="105"/>
          <w:position w:val="1"/>
          <w:sz w:val="28"/>
          <w:szCs w:val="28"/>
        </w:rPr>
        <w:t xml:space="preserve"> </w:t>
      </w:r>
      <w:r w:rsidRPr="00262281">
        <w:rPr>
          <w:rFonts w:ascii="Times New Roman" w:eastAsia="Times New Roman" w:hAnsi="Times New Roman" w:cs="Times New Roman"/>
          <w:b/>
          <w:color w:val="auto"/>
          <w:w w:val="105"/>
          <w:position w:val="1"/>
          <w:sz w:val="28"/>
          <w:szCs w:val="28"/>
        </w:rPr>
        <w:t>прийняття</w:t>
      </w:r>
      <w:r w:rsidRPr="00262281">
        <w:rPr>
          <w:rFonts w:ascii="Times New Roman" w:eastAsia="Times New Roman" w:hAnsi="Times New Roman" w:cs="Times New Roman"/>
          <w:b/>
          <w:color w:val="auto"/>
          <w:spacing w:val="12"/>
          <w:w w:val="105"/>
          <w:position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pacing w:val="12"/>
          <w:w w:val="105"/>
          <w:position w:val="1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color w:val="auto"/>
          <w:spacing w:val="12"/>
          <w:w w:val="105"/>
          <w:position w:val="1"/>
          <w:sz w:val="28"/>
          <w:szCs w:val="28"/>
        </w:rPr>
        <w:t xml:space="preserve"> </w:t>
      </w:r>
      <w:r w:rsidRPr="00262281">
        <w:rPr>
          <w:rFonts w:ascii="Times New Roman" w:eastAsia="Times New Roman" w:hAnsi="Times New Roman" w:cs="Times New Roman"/>
          <w:b/>
          <w:color w:val="auto"/>
          <w:w w:val="105"/>
          <w:position w:val="1"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b/>
          <w:color w:val="auto"/>
          <w:w w:val="105"/>
          <w:position w:val="1"/>
          <w:sz w:val="28"/>
          <w:szCs w:val="28"/>
        </w:rPr>
        <w:t>.</w:t>
      </w:r>
    </w:p>
    <w:p w:rsidR="00637241" w:rsidRDefault="00637241" w:rsidP="00262281">
      <w:pPr>
        <w:widowControl w:val="0"/>
        <w:tabs>
          <w:tab w:val="left" w:pos="934"/>
        </w:tabs>
        <w:suppressAutoHyphens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793E40" w:rsidRDefault="00637241" w:rsidP="00637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72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На </w:t>
      </w:r>
      <w:proofErr w:type="spellStart"/>
      <w:r w:rsidRPr="006372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засіданні</w:t>
      </w:r>
      <w:proofErr w:type="spellEnd"/>
      <w:r w:rsidRPr="006372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6372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постійної</w:t>
      </w:r>
      <w:proofErr w:type="spellEnd"/>
      <w:r w:rsidRPr="006372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6372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комісії</w:t>
      </w:r>
      <w:proofErr w:type="spellEnd"/>
      <w:r w:rsidRPr="006372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6372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Київської</w:t>
      </w:r>
      <w:proofErr w:type="spellEnd"/>
      <w:r w:rsidRPr="006372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6372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міської</w:t>
      </w:r>
      <w:proofErr w:type="spellEnd"/>
      <w:r w:rsidRPr="006372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ради з </w:t>
      </w:r>
      <w:proofErr w:type="spellStart"/>
      <w:proofErr w:type="gramStart"/>
      <w:r w:rsidRPr="006372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питань</w:t>
      </w:r>
      <w:proofErr w:type="spellEnd"/>
      <w:r w:rsidRPr="006372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Pr="006372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житлово</w:t>
      </w:r>
      <w:proofErr w:type="gramEnd"/>
      <w:r w:rsidRPr="006372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-комунального</w:t>
      </w:r>
      <w:proofErr w:type="spellEnd"/>
      <w:r w:rsidRPr="006372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6372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господарства</w:t>
      </w:r>
      <w:proofErr w:type="spellEnd"/>
      <w:r w:rsidRPr="006372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Pr="006372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паливно-енергетичного</w:t>
      </w:r>
      <w:proofErr w:type="spellEnd"/>
      <w:r w:rsidRPr="006372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комплексу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473AC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</w:t>
      </w:r>
      <w:proofErr w:type="spellStart"/>
      <w:r w:rsidR="00473AC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далі</w:t>
      </w:r>
      <w:proofErr w:type="spellEnd"/>
      <w:r w:rsidR="00473AC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</w:t>
      </w:r>
      <w:proofErr w:type="spellStart"/>
      <w:r w:rsidR="00473AC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Постійна</w:t>
      </w:r>
      <w:proofErr w:type="spellEnd"/>
      <w:r w:rsidR="00473AC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473AC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комісія</w:t>
      </w:r>
      <w:proofErr w:type="spellEnd"/>
      <w:r w:rsidR="00473AC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заслуховувалися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6372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загальні показники виконання заходів Комплексної цільової програми підвищення енергоефективності та розвитку житлово-комунальної інфраструктури міста Києва за січень-червень 2024 року.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93E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</w:p>
    <w:p w:rsidR="00637241" w:rsidRDefault="00637241" w:rsidP="0063724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ru-RU"/>
        </w:rPr>
      </w:pPr>
      <w:r w:rsidRPr="00637241">
        <w:rPr>
          <w:rFonts w:ascii="Times New Roman" w:eastAsia="SimSun" w:hAnsi="Times New Roman" w:cs="Times New Roman"/>
          <w:color w:val="auto"/>
          <w:sz w:val="28"/>
          <w:szCs w:val="28"/>
          <w:lang w:eastAsia="ru-RU"/>
        </w:rPr>
        <w:t>Під час обговорення були порушені питання неналежного фінансування робіт  об’єкт</w:t>
      </w:r>
      <w:r w:rsidR="0076523E">
        <w:rPr>
          <w:rFonts w:ascii="Times New Roman" w:eastAsia="SimSun" w:hAnsi="Times New Roman" w:cs="Times New Roman"/>
          <w:color w:val="auto"/>
          <w:sz w:val="28"/>
          <w:szCs w:val="28"/>
          <w:lang w:eastAsia="ru-RU"/>
        </w:rPr>
        <w:t>ів</w:t>
      </w:r>
      <w:r w:rsidRPr="00637241">
        <w:rPr>
          <w:rFonts w:ascii="Times New Roman" w:eastAsia="SimSun" w:hAnsi="Times New Roman" w:cs="Times New Roman"/>
          <w:color w:val="auto"/>
          <w:sz w:val="28"/>
          <w:szCs w:val="28"/>
          <w:lang w:eastAsia="ru-RU"/>
        </w:rPr>
        <w:t xml:space="preserve"> критичної інфраструктури</w:t>
      </w:r>
      <w:r w:rsidR="0076523E">
        <w:rPr>
          <w:rFonts w:ascii="Times New Roman" w:eastAsia="SimSun" w:hAnsi="Times New Roman" w:cs="Times New Roman"/>
          <w:color w:val="auto"/>
          <w:sz w:val="28"/>
          <w:szCs w:val="28"/>
          <w:lang w:eastAsia="ru-RU"/>
        </w:rPr>
        <w:t xml:space="preserve"> щодо</w:t>
      </w:r>
      <w:r w:rsidRPr="00637241">
        <w:rPr>
          <w:rFonts w:ascii="Times New Roman" w:eastAsia="SimSu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6523E" w:rsidRPr="007652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реконструкції та технічного переоснащення полігону твердих побутових відходів № 5 с. Підгірці Обухівського району Київської області, рекультивація ділянки №1 </w:t>
      </w:r>
      <w:r w:rsidRPr="0076523E">
        <w:rPr>
          <w:rFonts w:ascii="Times New Roman" w:eastAsia="SimSun" w:hAnsi="Times New Roman" w:cs="Times New Roman"/>
          <w:color w:val="auto"/>
          <w:sz w:val="28"/>
          <w:szCs w:val="28"/>
          <w:lang w:eastAsia="ru-RU"/>
        </w:rPr>
        <w:t xml:space="preserve">та </w:t>
      </w:r>
      <w:r w:rsidRPr="007652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технічного переоснащення СП «Завод «Енергія»</w:t>
      </w:r>
      <w:r w:rsidR="0076523E" w:rsidRPr="007652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7652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КП</w:t>
      </w:r>
      <w:r w:rsidR="0076523E" w:rsidRPr="007652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7652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«КИЇВТЕПЛОЕНЕРГО»</w:t>
      </w:r>
      <w:r w:rsidR="0076523E" w:rsidRPr="007652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7652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</w:t>
      </w:r>
      <w:r w:rsidR="00793E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7652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вул. Колекторній, 44 у Дарницькому районі м. Києва в частині системи очищення димових газів</w:t>
      </w:r>
      <w:r w:rsidRPr="0076523E">
        <w:rPr>
          <w:rFonts w:ascii="Times New Roman" w:eastAsia="SimSun" w:hAnsi="Times New Roman" w:cs="Times New Roman"/>
          <w:color w:val="auto"/>
          <w:sz w:val="28"/>
          <w:szCs w:val="28"/>
          <w:lang w:eastAsia="ru-RU"/>
        </w:rPr>
        <w:t>.</w:t>
      </w:r>
      <w:r w:rsidRPr="00637241">
        <w:rPr>
          <w:rFonts w:ascii="Times New Roman" w:eastAsia="SimSu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473ACE" w:rsidRPr="0076523E" w:rsidRDefault="00473ACE" w:rsidP="00473ACE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Станом на сьогодні</w:t>
      </w:r>
      <w:r w:rsidRPr="007652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склалася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складна </w:t>
      </w:r>
      <w:r w:rsidRPr="007652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ситуація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 цих об’єктах</w:t>
      </w:r>
      <w:r w:rsidRPr="007652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тому що</w:t>
      </w:r>
      <w:r w:rsidRPr="007652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за виконані роботи замовники не мають можливості розрахуватися з підрядними організаціями, оскільки право на проведення таких </w:t>
      </w:r>
      <w:proofErr w:type="spellStart"/>
      <w:r w:rsidRPr="007652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оплат</w:t>
      </w:r>
      <w:proofErr w:type="spellEnd"/>
      <w:r w:rsidRPr="007652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обмежено нормативно, </w:t>
      </w:r>
      <w:r w:rsidR="00941A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тому що такі </w:t>
      </w:r>
      <w:r w:rsidRPr="007652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платежі в рамках підпункту 3 пункту 19 </w:t>
      </w:r>
      <w:r w:rsidR="00D04B76" w:rsidRPr="00D04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Порядку виконання повноважень Державною казначейською службою в особливому режимі в умовах воєнного стану, затвердженого постановою Кабінету Міністрів України від</w:t>
      </w:r>
      <w:r w:rsidR="00941A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04B76" w:rsidRPr="00D04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09.06.2021</w:t>
      </w:r>
      <w:r w:rsidR="00941A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04B76" w:rsidRPr="00D04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№ 590 (далі – Порядок № 590) </w:t>
      </w:r>
      <w:r w:rsidRPr="007652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віднесено до останньої черги. </w:t>
      </w:r>
    </w:p>
    <w:p w:rsidR="00473ACE" w:rsidRPr="00473ACE" w:rsidRDefault="00941A68" w:rsidP="00473ACE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Також</w:t>
      </w:r>
      <w:r w:rsidR="00473ACE" w:rsidRPr="00473ACE">
        <w:rPr>
          <w:rFonts w:ascii="Times New Roman" w:hAnsi="Times New Roman" w:cs="Times New Roman"/>
          <w:color w:val="auto"/>
          <w:sz w:val="28"/>
          <w:szCs w:val="28"/>
        </w:rPr>
        <w:t xml:space="preserve"> існу</w:t>
      </w:r>
      <w:r w:rsidR="00473ACE">
        <w:rPr>
          <w:rFonts w:ascii="Times New Roman" w:hAnsi="Times New Roman" w:cs="Times New Roman"/>
          <w:color w:val="auto"/>
          <w:sz w:val="28"/>
          <w:szCs w:val="28"/>
        </w:rPr>
        <w:t>ють</w:t>
      </w:r>
      <w:r w:rsidR="00473ACE" w:rsidRPr="00473ACE">
        <w:rPr>
          <w:rFonts w:ascii="Times New Roman" w:hAnsi="Times New Roman" w:cs="Times New Roman"/>
          <w:color w:val="auto"/>
          <w:sz w:val="28"/>
          <w:szCs w:val="28"/>
        </w:rPr>
        <w:t xml:space="preserve"> складн</w:t>
      </w:r>
      <w:r w:rsidR="00473ACE">
        <w:rPr>
          <w:rFonts w:ascii="Times New Roman" w:hAnsi="Times New Roman" w:cs="Times New Roman"/>
          <w:color w:val="auto"/>
          <w:sz w:val="28"/>
          <w:szCs w:val="28"/>
        </w:rPr>
        <w:t>ощі</w:t>
      </w:r>
      <w:r w:rsidR="00473ACE" w:rsidRPr="00473ACE">
        <w:rPr>
          <w:rFonts w:ascii="Times New Roman" w:hAnsi="Times New Roman" w:cs="Times New Roman"/>
          <w:color w:val="auto"/>
          <w:sz w:val="28"/>
          <w:szCs w:val="28"/>
        </w:rPr>
        <w:t xml:space="preserve"> щодо попередньої оплати, а саме: одержувачі коштів, які укладали договори генерального </w:t>
      </w:r>
      <w:proofErr w:type="spellStart"/>
      <w:r w:rsidR="00473ACE" w:rsidRPr="00473ACE">
        <w:rPr>
          <w:rFonts w:ascii="Times New Roman" w:hAnsi="Times New Roman" w:cs="Times New Roman"/>
          <w:color w:val="auto"/>
          <w:sz w:val="28"/>
          <w:szCs w:val="28"/>
        </w:rPr>
        <w:t>підряду</w:t>
      </w:r>
      <w:proofErr w:type="spellEnd"/>
      <w:r w:rsidR="00473ACE" w:rsidRPr="00473ACE">
        <w:rPr>
          <w:rFonts w:ascii="Times New Roman" w:hAnsi="Times New Roman" w:cs="Times New Roman"/>
          <w:color w:val="auto"/>
          <w:sz w:val="28"/>
          <w:szCs w:val="28"/>
        </w:rPr>
        <w:t xml:space="preserve"> на виконання </w:t>
      </w:r>
      <w:r w:rsidR="00473ACE" w:rsidRPr="00473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робіт по відновленню важливих інфраструктурних об’єктів столиці України не </w:t>
      </w:r>
      <w:r w:rsidR="00473ACE" w:rsidRPr="00473ACE">
        <w:rPr>
          <w:rFonts w:ascii="Times New Roman" w:hAnsi="Times New Roman" w:cs="Times New Roman"/>
          <w:color w:val="auto"/>
          <w:sz w:val="28"/>
          <w:szCs w:val="28"/>
        </w:rPr>
        <w:t xml:space="preserve">мають можливості </w:t>
      </w:r>
      <w:r w:rsidR="00473ACE" w:rsidRPr="00473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виконувати свої договірні зобов’язання по діючих договорах </w:t>
      </w:r>
      <w:proofErr w:type="spellStart"/>
      <w:r w:rsidR="00473ACE" w:rsidRPr="00473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підряду</w:t>
      </w:r>
      <w:proofErr w:type="spellEnd"/>
      <w:r w:rsidR="00473ACE" w:rsidRPr="00473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частині фінансування та виконання робіт, у зв’язку з тривалим процесом проведення попередньої оплати,</w:t>
      </w:r>
      <w:r w:rsidR="00473ACE" w:rsidRPr="00473ACE">
        <w:rPr>
          <w:rFonts w:ascii="Times New Roman" w:hAnsi="Times New Roman" w:cs="Times New Roman"/>
          <w:color w:val="auto"/>
          <w:sz w:val="28"/>
          <w:szCs w:val="28"/>
        </w:rPr>
        <w:t xml:space="preserve"> оскільки право на проведення такої оплати обмежено нормативно, платежі в рамках підпункту 3 пункту 19 Порядку № 590  віднесено до останньої черги. </w:t>
      </w:r>
    </w:p>
    <w:p w:rsidR="00473ACE" w:rsidRPr="00473ACE" w:rsidRDefault="00473ACE" w:rsidP="00473ACE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73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Генпідрядник в рамках виконання  будівельних робіт об’єкт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473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укладає договори на надання послуг та поставки товарів, а також субпідряду, в яких є складова поставки матеріалів вітчизняного та імпортного виробництва. Термін поставки таких матеріалів за умовами укладених договорів становить декілька місяців з  моменту отримання на рахунок субпідрядника попередньої оплати за матеріали.</w:t>
      </w:r>
    </w:p>
    <w:p w:rsidR="00473ACE" w:rsidRPr="00473ACE" w:rsidRDefault="00473ACE" w:rsidP="00473ACE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73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Після отримання авансового платежу від одержувача коштів (замовника будівництва) генпідрядник надає платіжні інструкції на виконання в Державну </w:t>
      </w:r>
      <w:r w:rsidRPr="00473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казначейську службу України, оплати по яких проводять через декілька календарних місяців з урахуванням черговості платежів.</w:t>
      </w:r>
    </w:p>
    <w:p w:rsidR="00473ACE" w:rsidRPr="00473ACE" w:rsidRDefault="00473ACE" w:rsidP="00473ACE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73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Таким чином, поставки замовлених матеріалів переносяться на невизначений термін.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Така</w:t>
      </w:r>
      <w:r w:rsidRPr="00473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затримка проведення платіжних інструкцій унеможливлює своєчасне закриття авансового платежу Генпідрядником, так як технологія проведення робіт передбачає комплекс необхідної кількості матеріалів та складових вітчизняного та імпортного виробництва </w:t>
      </w:r>
      <w:r w:rsidR="00F930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і</w:t>
      </w:r>
      <w:r w:rsidRPr="00473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значного терміну доставки в Україну.</w:t>
      </w:r>
    </w:p>
    <w:p w:rsidR="0076523E" w:rsidRDefault="0076523E" w:rsidP="0076523E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652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Затримка у фінансуванні робіт та, як наслідок, у проведенні реконструкції вказаних об’єктів або подальша консервація виконання робіт призведе до негативних техногенних наслідків у м. Києві та Київській області, погіршення надання </w:t>
      </w:r>
      <w:bookmarkStart w:id="0" w:name="_GoBack"/>
      <w:bookmarkEnd w:id="0"/>
      <w:r w:rsidRPr="007652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комунальних послуг, захоронення побутових відходів виключно на полігонах, що в свою чергу збільшить на них навантаження та спричинить соціальне невдоволення, погіршення екологічної ситуації в сфері побутових відходів, збільшення вартості утилізації відходів та вартості виробництва теплової енергії.</w:t>
      </w:r>
    </w:p>
    <w:p w:rsidR="00793E40" w:rsidRPr="00793E40" w:rsidRDefault="00793E40" w:rsidP="00793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Для </w:t>
      </w:r>
      <w:r w:rsidRPr="00793E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забезпечення безперебійності виконання робіт</w:t>
      </w:r>
      <w:r w:rsidR="001428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bookmarkStart w:id="1" w:name="_Hlk175740884"/>
      <w:r w:rsidR="001428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 будівництва та реконструкції </w:t>
      </w:r>
      <w:bookmarkEnd w:id="1"/>
      <w:r w:rsidRPr="00793E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</w:t>
      </w:r>
      <w:r w:rsidRPr="00793E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428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вищезазначених </w:t>
      </w:r>
      <w:r w:rsidRPr="00793E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об’єктах </w:t>
      </w:r>
      <w:r w:rsidR="001428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критичної інфраструктури </w:t>
      </w:r>
      <w:r w:rsidRPr="00793E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та своєчасності проведення платежів попередньої оплати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Pr="00793E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73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Постійн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="00473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комісі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</w:t>
      </w:r>
      <w:r w:rsidR="00473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спільно з Департаментом житлово-комунальної інфраструктури виконавчого органу Київської міської ради (Київської міської державної адміністрації) </w:t>
      </w:r>
      <w:r w:rsidR="00D04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</w:t>
      </w:r>
      <w:r w:rsidR="00473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працюва</w:t>
      </w:r>
      <w:r w:rsidR="00D04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ла</w:t>
      </w:r>
      <w:r w:rsidR="00473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473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проєкт</w:t>
      </w:r>
      <w:proofErr w:type="spellEnd"/>
      <w:r w:rsidR="00473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рішення  Київської міської ради </w:t>
      </w:r>
      <w:r w:rsidRPr="00793E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«Про звернення до Кабінету Міністрів України </w:t>
      </w:r>
      <w:r w:rsidRPr="00BF72C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щодо внесення змін до  Порядку виконання повноважень Державною казначейською службою в особливому режимі в умовах воєнного стану, затвердженого постановою Кабінету Міністрів України від 09.06.2021 № 590</w:t>
      </w:r>
      <w:r w:rsidRPr="00793E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частині </w:t>
      </w:r>
      <w:r w:rsidRPr="00793E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внесення змін до підпункту 2 пункту 19 Порядку  № 590 щодо врегулювання черговості фінансування виплат за іншими коштами з небюджетних рахунків постачальників товарів, виконавців робіт і надавачів послуг, отриманими як попередня оплата від розпорядників (одержувачів) бюджетних коштів на будівництво, реконструкцію об’єктів критичної інфраструктури, у разі відкриття таких рахунків на їх ім’я в Казначействі та органах Казначейства, та віднесення таких платежів до другої черги, в установленому законодавством порядку.</w:t>
      </w:r>
    </w:p>
    <w:p w:rsidR="00473ACE" w:rsidRPr="0076523E" w:rsidRDefault="00793E40" w:rsidP="0076523E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262281" w:rsidRDefault="00262281" w:rsidP="00262281">
      <w:pPr>
        <w:widowControl w:val="0"/>
        <w:tabs>
          <w:tab w:val="left" w:pos="934"/>
        </w:tabs>
        <w:suppressAutoHyphens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2. </w:t>
      </w:r>
      <w:r w:rsidRPr="0026228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Мета i </w:t>
      </w:r>
      <w:proofErr w:type="spellStart"/>
      <w:r w:rsidRPr="0026228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завдання</w:t>
      </w:r>
      <w:proofErr w:type="spellEnd"/>
      <w:r w:rsidRPr="0026228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26228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прийняття</w:t>
      </w:r>
      <w:proofErr w:type="spellEnd"/>
      <w:r w:rsidRPr="0026228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26228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.</w:t>
      </w:r>
    </w:p>
    <w:p w:rsidR="00072812" w:rsidRDefault="00072812" w:rsidP="00262281">
      <w:pPr>
        <w:widowControl w:val="0"/>
        <w:tabs>
          <w:tab w:val="left" w:pos="934"/>
        </w:tabs>
        <w:suppressAutoHyphens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D04B76" w:rsidRDefault="00262281" w:rsidP="00675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6228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Метою та завданням прийняття цього проекту рішення є </w:t>
      </w:r>
      <w:r w:rsidR="00D04B76" w:rsidRPr="00D04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внесення змін до підпункту 2 пункту 19 Порядку № 590 щодо врегулювання черговості фінансування виплат за іншими коштами з небюджетних рахунків постачальників товарів, виконавців робіт і надавачів послуг, отриманими як попередня оплата від розпорядників (одержувачів) бюджетних коштів на будівництво, реконструкцію об’єктів критичної інфраструктури, у разі відкриття таких рахунків на їх ім’я в Казначействі та органах Казначейства, та віднесення таких платежів до другої черги, в установленому законодавством порядку</w:t>
      </w:r>
      <w:r w:rsidR="00D04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для </w:t>
      </w:r>
      <w:r w:rsidR="00D04B76" w:rsidRPr="00D04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забезпечення безперебійності виконання робіт</w:t>
      </w:r>
      <w:r w:rsidR="001428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428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 будівництва та реконструкції</w:t>
      </w:r>
      <w:r w:rsidR="00D04B76" w:rsidRPr="00D04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04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</w:t>
      </w:r>
      <w:r w:rsidR="00D04B76" w:rsidRPr="00D04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04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цих </w:t>
      </w:r>
      <w:r w:rsidR="00D04B76" w:rsidRPr="00D04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важливих об’єктах </w:t>
      </w:r>
      <w:r w:rsidR="00675B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критичної інфраструктури </w:t>
      </w:r>
      <w:r w:rsidR="00D04B76" w:rsidRPr="00D04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та своєчасності проведення платежів попередньої оплати</w:t>
      </w:r>
      <w:r w:rsidR="00D04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D04B76" w:rsidRDefault="00D04B76" w:rsidP="00262281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771E96" w:rsidRPr="00771E96" w:rsidRDefault="00D04B76" w:rsidP="00771E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3</w:t>
      </w:r>
      <w:r w:rsidR="008336E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. </w:t>
      </w:r>
      <w:r w:rsidR="00771E96" w:rsidRPr="00771E96">
        <w:rPr>
          <w:rFonts w:ascii="Times New Roman" w:hAnsi="Times New Roman" w:cs="Times New Roman"/>
          <w:b/>
          <w:color w:val="000000"/>
          <w:sz w:val="28"/>
          <w:szCs w:val="28"/>
        </w:rPr>
        <w:t>Правове об</w:t>
      </w:r>
      <w:r w:rsidR="00CC131A">
        <w:rPr>
          <w:rFonts w:ascii="Times New Roman" w:hAnsi="Times New Roman" w:cs="Times New Roman"/>
          <w:b/>
          <w:color w:val="000000"/>
          <w:sz w:val="28"/>
          <w:szCs w:val="28"/>
        </w:rPr>
        <w:t>ґ</w:t>
      </w:r>
      <w:r w:rsidR="00771E96" w:rsidRPr="00771E96">
        <w:rPr>
          <w:rFonts w:ascii="Times New Roman" w:hAnsi="Times New Roman" w:cs="Times New Roman"/>
          <w:b/>
          <w:color w:val="000000"/>
          <w:sz w:val="28"/>
          <w:szCs w:val="28"/>
        </w:rPr>
        <w:t>рунтування необхідності прийняття рішення.</w:t>
      </w:r>
    </w:p>
    <w:p w:rsidR="00262281" w:rsidRPr="00262281" w:rsidRDefault="00262281" w:rsidP="008336ED">
      <w:pPr>
        <w:widowControl w:val="0"/>
        <w:tabs>
          <w:tab w:val="left" w:pos="851"/>
        </w:tabs>
        <w:suppressAutoHyphens w:val="0"/>
        <w:autoSpaceDE w:val="0"/>
        <w:autoSpaceDN w:val="0"/>
        <w:spacing w:after="0" w:line="240" w:lineRule="auto"/>
        <w:ind w:left="1494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675B99" w:rsidRDefault="00262281" w:rsidP="0026228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26228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</w:t>
      </w:r>
      <w:r w:rsidR="00941A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є</w:t>
      </w:r>
      <w:r w:rsidRPr="0026228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кт</w:t>
      </w:r>
      <w:proofErr w:type="spellEnd"/>
      <w:r w:rsidRPr="0026228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рішення підготовлений відповідно до </w:t>
      </w:r>
      <w:r w:rsidR="00675B99" w:rsidRPr="000019A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законів України «Про місцеве самоврядування в Україні», «Про столицю України - місто-герой Київ»</w:t>
      </w:r>
      <w:r w:rsidR="00675B9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62281" w:rsidRPr="00262281" w:rsidRDefault="00675B99" w:rsidP="0026228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019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71E96" w:rsidRPr="00771E96" w:rsidRDefault="00675B99" w:rsidP="00771E96">
      <w:pPr>
        <w:suppressAutoHyphens w:val="0"/>
        <w:spacing w:after="0" w:line="240" w:lineRule="auto"/>
        <w:ind w:left="720" w:hanging="11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4</w:t>
      </w:r>
      <w:r w:rsidR="00771E96" w:rsidRPr="00771E96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 xml:space="preserve">. Вплив </w:t>
      </w:r>
      <w:proofErr w:type="spellStart"/>
      <w:r w:rsidR="00771E96" w:rsidRPr="00771E96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про</w:t>
      </w:r>
      <w:r w:rsidR="00941A68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є</w:t>
      </w:r>
      <w:r w:rsidR="00771E96" w:rsidRPr="00771E96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кту</w:t>
      </w:r>
      <w:proofErr w:type="spellEnd"/>
      <w:r w:rsidR="00771E96" w:rsidRPr="00771E96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 xml:space="preserve"> рішення  на осіб з інвалідністю.</w:t>
      </w:r>
    </w:p>
    <w:p w:rsidR="00771E96" w:rsidRPr="00771E96" w:rsidRDefault="00771E96" w:rsidP="00771E96">
      <w:pPr>
        <w:suppressAutoHyphens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proofErr w:type="spellStart"/>
      <w:r w:rsidRPr="00771E96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Проєкт</w:t>
      </w:r>
      <w:proofErr w:type="spellEnd"/>
      <w:r w:rsidRPr="00771E96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рішення не стосується прав і соціальної захищеності осіб з інвалідністю та не впливатиме на життєдіяльність цієї категорії. </w:t>
      </w:r>
    </w:p>
    <w:p w:rsidR="00771E96" w:rsidRPr="00771E96" w:rsidRDefault="00771E96" w:rsidP="00771E9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771E96" w:rsidRPr="00771E96" w:rsidRDefault="00675B99" w:rsidP="00771E96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</w:t>
      </w:r>
      <w:r w:rsidR="00771E96" w:rsidRPr="00771E9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. Відповідність </w:t>
      </w:r>
      <w:proofErr w:type="spellStart"/>
      <w:r w:rsidR="00771E96" w:rsidRPr="00771E9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проєкту</w:t>
      </w:r>
      <w:proofErr w:type="spellEnd"/>
      <w:r w:rsidR="00771E96" w:rsidRPr="00771E9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рішення до Закону України </w:t>
      </w:r>
      <w:r w:rsidR="00771E96" w:rsidRPr="00771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 доступ  до публічної інформації».</w:t>
      </w:r>
    </w:p>
    <w:p w:rsidR="00771E96" w:rsidRPr="00771E96" w:rsidRDefault="00771E96" w:rsidP="00771E9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771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771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містить інформацію з обмеженим доступом у розумінні статті 6 Закону України «Про доступ  до публічної інформації».</w:t>
      </w:r>
    </w:p>
    <w:p w:rsidR="00771E96" w:rsidRPr="00771E96" w:rsidRDefault="00771E96" w:rsidP="00771E9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771E96" w:rsidRPr="00771E96" w:rsidRDefault="00675B99" w:rsidP="00771E96">
      <w:pPr>
        <w:suppressAutoHyphens w:val="0"/>
        <w:spacing w:after="0" w:line="240" w:lineRule="auto"/>
        <w:ind w:right="-2" w:firstLine="567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6</w:t>
      </w:r>
      <w:r w:rsidR="00771E96" w:rsidRPr="00771E9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.   Відповідність </w:t>
      </w:r>
      <w:proofErr w:type="spellStart"/>
      <w:r w:rsidR="00771E96" w:rsidRPr="00771E9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проєкту</w:t>
      </w:r>
      <w:proofErr w:type="spellEnd"/>
      <w:r w:rsidR="00771E96" w:rsidRPr="00771E9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рішення до З</w:t>
      </w:r>
      <w:r w:rsidR="00771E96" w:rsidRPr="00771E96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аконів України «Про інформацію» та «Про захист персональних даних».</w:t>
      </w:r>
    </w:p>
    <w:p w:rsidR="00771E96" w:rsidRPr="00771E96" w:rsidRDefault="00771E96" w:rsidP="00771E96">
      <w:pPr>
        <w:suppressAutoHyphens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proofErr w:type="spellStart"/>
      <w:r w:rsidRPr="00771E96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Проєкт</w:t>
      </w:r>
      <w:proofErr w:type="spellEnd"/>
      <w:r w:rsidRPr="00771E96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рішення не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:rsidR="00771E96" w:rsidRPr="00771E96" w:rsidRDefault="00771E96" w:rsidP="00771E9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771E96" w:rsidRPr="00771E96" w:rsidRDefault="00675B99" w:rsidP="00771E96">
      <w:pPr>
        <w:keepNext/>
        <w:tabs>
          <w:tab w:val="left" w:pos="0"/>
        </w:tabs>
        <w:suppressAutoHyphens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7</w:t>
      </w:r>
      <w:r w:rsidR="00771E96" w:rsidRPr="00771E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. Фінансово-економічне обґрунтування </w:t>
      </w:r>
      <w:proofErr w:type="spellStart"/>
      <w:r w:rsidR="00771E96" w:rsidRPr="00771E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проєкту</w:t>
      </w:r>
      <w:proofErr w:type="spellEnd"/>
      <w:r w:rsidR="00771E96" w:rsidRPr="00771E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рішення.</w:t>
      </w:r>
    </w:p>
    <w:p w:rsidR="00675B99" w:rsidRPr="00675B99" w:rsidRDefault="00675B99" w:rsidP="00675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рішення не призведе до зменшення надходження до бюджету міста Києва та не потребує додаткових витрат з бюджету міста Києва.</w:t>
      </w:r>
    </w:p>
    <w:p w:rsidR="00771E96" w:rsidRPr="00771E96" w:rsidRDefault="00771E96" w:rsidP="00771E9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771E96" w:rsidRPr="00771E96" w:rsidRDefault="00675B99" w:rsidP="00771E96">
      <w:pPr>
        <w:overflowPunct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8</w:t>
      </w:r>
      <w:r w:rsidR="00771E96" w:rsidRPr="00771E96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. Прогноз соціально-економічних та інших наслідків прийняття рішення.</w:t>
      </w:r>
    </w:p>
    <w:p w:rsidR="00771E96" w:rsidRPr="00771E96" w:rsidRDefault="00771E96" w:rsidP="00771E96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  <w:t xml:space="preserve">Врегулювання цього питання </w:t>
      </w:r>
      <w:r w:rsidRPr="00771E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гарантуватиме безперебійну роботу об’єктів критичної інфраструктури,</w:t>
      </w:r>
      <w:r w:rsidR="00675B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насамперед</w:t>
      </w:r>
      <w:r w:rsidR="00675B99" w:rsidRPr="00675B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систем водопостачання, водовідведення, стабільного обслуговування зовнішніх інженерних мереж, паливно-енергетичного комплексу міста </w:t>
      </w:r>
      <w:r w:rsidR="00675B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тощо.</w:t>
      </w:r>
    </w:p>
    <w:p w:rsidR="00771E96" w:rsidRPr="00771E96" w:rsidRDefault="00675B99" w:rsidP="00771E96">
      <w:pPr>
        <w:suppressAutoHyphens w:val="0"/>
        <w:overflowPunct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9</w:t>
      </w:r>
      <w:r w:rsidR="00771E96" w:rsidRPr="00771E96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. Громадське обговорення</w:t>
      </w:r>
    </w:p>
    <w:p w:rsidR="00771E96" w:rsidRPr="00771E96" w:rsidRDefault="00771E96" w:rsidP="00771E96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</w:pPr>
      <w:proofErr w:type="spellStart"/>
      <w:r w:rsidRPr="00771E96"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  <w:t>Проєкт</w:t>
      </w:r>
      <w:proofErr w:type="spellEnd"/>
      <w:r w:rsidRPr="00771E96"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  <w:t xml:space="preserve"> рішення не потребує громадського обговорення.</w:t>
      </w:r>
    </w:p>
    <w:p w:rsidR="00771E96" w:rsidRPr="00771E96" w:rsidRDefault="00771E96" w:rsidP="00771E96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</w:pPr>
    </w:p>
    <w:p w:rsidR="00771E96" w:rsidRDefault="00771E96" w:rsidP="00771E96">
      <w:pPr>
        <w:overflowPunct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1</w:t>
      </w:r>
      <w:r w:rsidR="00675B99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0</w:t>
      </w:r>
      <w:r w:rsidRPr="00771E96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 xml:space="preserve">.  Суб’єкт подання </w:t>
      </w:r>
      <w:proofErr w:type="spellStart"/>
      <w:r w:rsidRPr="00771E96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проєкту</w:t>
      </w:r>
      <w:proofErr w:type="spellEnd"/>
      <w:r w:rsidRPr="00771E96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 xml:space="preserve"> рішення.</w:t>
      </w:r>
    </w:p>
    <w:p w:rsidR="00072812" w:rsidRPr="00771E96" w:rsidRDefault="00072812" w:rsidP="00771E96">
      <w:pPr>
        <w:overflowPunct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</w:pPr>
    </w:p>
    <w:p w:rsidR="00771E96" w:rsidRPr="00771E96" w:rsidRDefault="00771E96" w:rsidP="00771E96">
      <w:pPr>
        <w:shd w:val="clear" w:color="auto" w:fill="FFFFFF"/>
        <w:suppressAutoHyphens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71E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Суб’єктом подання </w:t>
      </w:r>
      <w:proofErr w:type="spellStart"/>
      <w:r w:rsidRPr="00771E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проєкту</w:t>
      </w:r>
      <w:proofErr w:type="spellEnd"/>
      <w:r w:rsidRPr="00771E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рішення є постійна комісія Київської міської ради з питань житлово-комунального господарства та паливно-енергетичного комплексу, депутати Київської міської ради члени -  постійної комісії Київської міської ради з питань житлово-комунального господарства та паливно-енергетичного комплексу.</w:t>
      </w:r>
    </w:p>
    <w:p w:rsidR="00771E96" w:rsidRPr="00771E96" w:rsidRDefault="00771E96" w:rsidP="00771E96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71E96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Відповідальним за супроводження </w:t>
      </w:r>
      <w:proofErr w:type="spellStart"/>
      <w:r w:rsidRPr="00771E96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проєкту</w:t>
      </w:r>
      <w:proofErr w:type="spellEnd"/>
      <w:r w:rsidRPr="00771E96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рішення та доповідачем на всіх стадіях розгляду та пленарному засіданні Київської міської ради є  голова </w:t>
      </w:r>
      <w:r w:rsidRPr="00771E96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lastRenderedPageBreak/>
        <w:t xml:space="preserve">постійної комісії Київської міської ради з питань житлово-комунального господарства та паливно-енергетичного комплексу Бродський Олександр Якович, </w:t>
      </w:r>
      <w:proofErr w:type="spellStart"/>
      <w:r w:rsidRPr="00771E96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к.т</w:t>
      </w:r>
      <w:proofErr w:type="spellEnd"/>
      <w:r w:rsidRPr="00771E96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. 202-73-11,  співдоповідачем є </w:t>
      </w:r>
      <w:r w:rsidR="00675B99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директор </w:t>
      </w:r>
      <w:r w:rsidR="00325AB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Департаменту житлово-комунальної інфраструктури виконавчого органу Київської міської ради (Київської міської державної адміністрації) Науменко Дмитро Володимирович, </w:t>
      </w:r>
      <w:proofErr w:type="spellStart"/>
      <w:r w:rsidR="00325AB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к.т</w:t>
      </w:r>
      <w:proofErr w:type="spellEnd"/>
      <w:r w:rsidR="00325AB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941A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272</w:t>
      </w:r>
      <w:r w:rsidR="00872A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="00941A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10</w:t>
      </w:r>
      <w:r w:rsidR="00872A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="00941A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91</w:t>
      </w:r>
      <w:r w:rsidR="00872A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771E96" w:rsidRPr="00771E96" w:rsidRDefault="00771E96" w:rsidP="00771E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771E96" w:rsidRPr="00771E96" w:rsidRDefault="00771E96" w:rsidP="00771E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771E96" w:rsidRPr="00771E96" w:rsidRDefault="00771E96" w:rsidP="00771E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Постійна комісія Київської міської ради</w:t>
      </w:r>
      <w:r w:rsidRPr="00771E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771E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771E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</w:p>
    <w:p w:rsidR="00771E96" w:rsidRPr="00771E96" w:rsidRDefault="00771E96" w:rsidP="00771E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з питань житлово-комунального господарства </w:t>
      </w:r>
    </w:p>
    <w:p w:rsidR="00771E96" w:rsidRPr="00771E96" w:rsidRDefault="00771E96" w:rsidP="00771E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та паливно-енергетичного комплексу,</w:t>
      </w:r>
    </w:p>
    <w:p w:rsidR="00771E96" w:rsidRDefault="00771E96" w:rsidP="00771E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депутати Київської міської ради:</w:t>
      </w:r>
    </w:p>
    <w:p w:rsidR="001A08A3" w:rsidRPr="00771E96" w:rsidRDefault="001A08A3" w:rsidP="00771E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771E96" w:rsidRPr="00771E96" w:rsidRDefault="00771E96" w:rsidP="00771E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Голова постійної комісії                                       </w:t>
      </w:r>
      <w:r w:rsidRPr="00771E96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771E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Олександр БРОДСЬКИЙ</w:t>
      </w:r>
    </w:p>
    <w:p w:rsidR="00771E96" w:rsidRPr="00771E96" w:rsidRDefault="00771E96" w:rsidP="00771E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Секретар постійної комісії                                       </w:t>
      </w:r>
      <w:r w:rsidRPr="00771E96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771E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Тарас КРИВОРУЧКО</w:t>
      </w:r>
    </w:p>
    <w:p w:rsidR="00771E96" w:rsidRPr="00771E96" w:rsidRDefault="00771E96" w:rsidP="00771E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Перший заступник голови постійної комісії                              Віталій ПАВЛИК  </w:t>
      </w:r>
    </w:p>
    <w:p w:rsidR="00771E96" w:rsidRPr="00771E96" w:rsidRDefault="00771E96" w:rsidP="00771E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Перший заступник голови постійної комісії                          Юрій ТИХОНОВИЧ</w:t>
      </w:r>
    </w:p>
    <w:p w:rsidR="00771E96" w:rsidRPr="00771E96" w:rsidRDefault="00771E96" w:rsidP="00771E96">
      <w:pPr>
        <w:suppressAutoHyphens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Член постійної комісії                                                                 Олександр ПОПОВ</w:t>
      </w:r>
    </w:p>
    <w:p w:rsidR="00771E96" w:rsidRPr="00771E96" w:rsidRDefault="00771E96" w:rsidP="00771E9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Член постійної комісії</w:t>
      </w:r>
      <w:r w:rsidRPr="00771E96">
        <w:rPr>
          <w:rFonts w:ascii="Times New Roman" w:hAnsi="Times New Roman" w:cs="Times New Roman"/>
          <w:color w:val="auto"/>
          <w:sz w:val="27"/>
          <w:szCs w:val="27"/>
          <w:lang w:eastAsia="ru-RU"/>
        </w:rPr>
        <w:t xml:space="preserve">                                                     </w:t>
      </w:r>
      <w:r w:rsidRPr="00771E96">
        <w:rPr>
          <w:rFonts w:ascii="Times New Roman" w:hAnsi="Times New Roman" w:cs="Times New Roman"/>
          <w:color w:val="auto"/>
          <w:sz w:val="27"/>
          <w:szCs w:val="27"/>
          <w:lang w:val="ru-RU" w:eastAsia="ru-RU"/>
        </w:rPr>
        <w:t xml:space="preserve">                            </w:t>
      </w:r>
      <w:r w:rsidRPr="00771E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Ігор ШПАК</w:t>
      </w:r>
    </w:p>
    <w:p w:rsidR="00771E96" w:rsidRPr="00771E96" w:rsidRDefault="00771E96" w:rsidP="00771E9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:rsidR="00771E96" w:rsidRPr="00771E96" w:rsidRDefault="00771E96" w:rsidP="00771E9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771E96" w:rsidRDefault="00771E96" w:rsidP="00262281">
      <w:pPr>
        <w:keepNext/>
        <w:tabs>
          <w:tab w:val="left" w:pos="0"/>
        </w:tabs>
        <w:suppressAutoHyphens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771E96" w:rsidRDefault="00771E96" w:rsidP="00262281">
      <w:pPr>
        <w:keepNext/>
        <w:tabs>
          <w:tab w:val="left" w:pos="0"/>
        </w:tabs>
        <w:suppressAutoHyphens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771E96" w:rsidRDefault="00771E96" w:rsidP="00262281">
      <w:pPr>
        <w:keepNext/>
        <w:tabs>
          <w:tab w:val="left" w:pos="0"/>
        </w:tabs>
        <w:suppressAutoHyphens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771E96" w:rsidRDefault="00771E96" w:rsidP="00262281">
      <w:pPr>
        <w:keepNext/>
        <w:tabs>
          <w:tab w:val="left" w:pos="0"/>
        </w:tabs>
        <w:suppressAutoHyphens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771E96" w:rsidRDefault="00771E96" w:rsidP="00262281">
      <w:pPr>
        <w:keepNext/>
        <w:tabs>
          <w:tab w:val="left" w:pos="0"/>
        </w:tabs>
        <w:suppressAutoHyphens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771E96" w:rsidRDefault="00771E96" w:rsidP="00262281">
      <w:pPr>
        <w:keepNext/>
        <w:tabs>
          <w:tab w:val="left" w:pos="0"/>
        </w:tabs>
        <w:suppressAutoHyphens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771E96" w:rsidRDefault="00771E96" w:rsidP="00262281">
      <w:pPr>
        <w:keepNext/>
        <w:tabs>
          <w:tab w:val="left" w:pos="0"/>
        </w:tabs>
        <w:suppressAutoHyphens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771E96" w:rsidRDefault="00771E96" w:rsidP="00262281">
      <w:pPr>
        <w:keepNext/>
        <w:tabs>
          <w:tab w:val="left" w:pos="0"/>
        </w:tabs>
        <w:suppressAutoHyphens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sectPr w:rsidR="00771E96" w:rsidSect="00072812">
      <w:headerReference w:type="even" r:id="rId7"/>
      <w:headerReference w:type="default" r:id="rId8"/>
      <w:pgSz w:w="11906" w:h="16838"/>
      <w:pgMar w:top="1134" w:right="567" w:bottom="1134" w:left="1701" w:header="284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F26" w:rsidRDefault="00553F26">
      <w:pPr>
        <w:spacing w:after="0" w:line="240" w:lineRule="auto"/>
      </w:pPr>
      <w:r>
        <w:separator/>
      </w:r>
    </w:p>
  </w:endnote>
  <w:endnote w:type="continuationSeparator" w:id="0">
    <w:p w:rsidR="00553F26" w:rsidRDefault="005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F26" w:rsidRDefault="00553F26">
      <w:pPr>
        <w:spacing w:after="0" w:line="240" w:lineRule="auto"/>
      </w:pPr>
      <w:r>
        <w:separator/>
      </w:r>
    </w:p>
  </w:footnote>
  <w:footnote w:type="continuationSeparator" w:id="0">
    <w:p w:rsidR="00553F26" w:rsidRDefault="005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339" w:rsidRDefault="008336E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73339" w:rsidRDefault="00553F2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339" w:rsidRDefault="008336ED" w:rsidP="00300A7B">
    <w:pPr>
      <w:pStyle w:val="a4"/>
      <w:jc w:val="center"/>
    </w:pPr>
    <w:r>
      <w:t xml:space="preserve">                                                                                                                                                                                      </w:t>
    </w:r>
  </w:p>
  <w:p w:rsidR="00873339" w:rsidRDefault="00553F26" w:rsidP="00892B1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43D31"/>
    <w:multiLevelType w:val="hybridMultilevel"/>
    <w:tmpl w:val="90F0DE0A"/>
    <w:lvl w:ilvl="0" w:tplc="8C96F1B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0B035E"/>
    <w:multiLevelType w:val="hybridMultilevel"/>
    <w:tmpl w:val="A8068100"/>
    <w:lvl w:ilvl="0" w:tplc="7BFCF696">
      <w:start w:val="1"/>
      <w:numFmt w:val="decimal"/>
      <w:lvlText w:val="%1."/>
      <w:lvlJc w:val="left"/>
      <w:pPr>
        <w:ind w:left="2789" w:hanging="378"/>
      </w:pPr>
      <w:rPr>
        <w:rFonts w:hint="default"/>
        <w:w w:val="102"/>
        <w:position w:val="1"/>
        <w:lang w:val="uk-UA" w:eastAsia="en-US" w:bidi="ar-SA"/>
      </w:rPr>
    </w:lvl>
    <w:lvl w:ilvl="1" w:tplc="77E0694A">
      <w:numFmt w:val="bullet"/>
      <w:lvlText w:val="•"/>
      <w:lvlJc w:val="left"/>
      <w:pPr>
        <w:ind w:left="1844" w:hanging="378"/>
      </w:pPr>
      <w:rPr>
        <w:rFonts w:hint="default"/>
        <w:lang w:val="uk-UA" w:eastAsia="en-US" w:bidi="ar-SA"/>
      </w:rPr>
    </w:lvl>
    <w:lvl w:ilvl="2" w:tplc="9B36DCEE">
      <w:numFmt w:val="bullet"/>
      <w:lvlText w:val="•"/>
      <w:lvlJc w:val="left"/>
      <w:pPr>
        <w:ind w:left="2749" w:hanging="378"/>
      </w:pPr>
      <w:rPr>
        <w:rFonts w:hint="default"/>
        <w:lang w:val="uk-UA" w:eastAsia="en-US" w:bidi="ar-SA"/>
      </w:rPr>
    </w:lvl>
    <w:lvl w:ilvl="3" w:tplc="16AC468C">
      <w:numFmt w:val="bullet"/>
      <w:lvlText w:val="•"/>
      <w:lvlJc w:val="left"/>
      <w:pPr>
        <w:ind w:left="3653" w:hanging="378"/>
      </w:pPr>
      <w:rPr>
        <w:rFonts w:hint="default"/>
        <w:lang w:val="uk-UA" w:eastAsia="en-US" w:bidi="ar-SA"/>
      </w:rPr>
    </w:lvl>
    <w:lvl w:ilvl="4" w:tplc="D794CA8E">
      <w:numFmt w:val="bullet"/>
      <w:lvlText w:val="•"/>
      <w:lvlJc w:val="left"/>
      <w:pPr>
        <w:ind w:left="4558" w:hanging="378"/>
      </w:pPr>
      <w:rPr>
        <w:rFonts w:hint="default"/>
        <w:lang w:val="uk-UA" w:eastAsia="en-US" w:bidi="ar-SA"/>
      </w:rPr>
    </w:lvl>
    <w:lvl w:ilvl="5" w:tplc="65B8990A">
      <w:numFmt w:val="bullet"/>
      <w:lvlText w:val="•"/>
      <w:lvlJc w:val="left"/>
      <w:pPr>
        <w:ind w:left="5462" w:hanging="378"/>
      </w:pPr>
      <w:rPr>
        <w:rFonts w:hint="default"/>
        <w:lang w:val="uk-UA" w:eastAsia="en-US" w:bidi="ar-SA"/>
      </w:rPr>
    </w:lvl>
    <w:lvl w:ilvl="6" w:tplc="BCDCC39A">
      <w:numFmt w:val="bullet"/>
      <w:lvlText w:val="•"/>
      <w:lvlJc w:val="left"/>
      <w:pPr>
        <w:ind w:left="6367" w:hanging="378"/>
      </w:pPr>
      <w:rPr>
        <w:rFonts w:hint="default"/>
        <w:lang w:val="uk-UA" w:eastAsia="en-US" w:bidi="ar-SA"/>
      </w:rPr>
    </w:lvl>
    <w:lvl w:ilvl="7" w:tplc="76D0A9E0">
      <w:numFmt w:val="bullet"/>
      <w:lvlText w:val="•"/>
      <w:lvlJc w:val="left"/>
      <w:pPr>
        <w:ind w:left="7271" w:hanging="378"/>
      </w:pPr>
      <w:rPr>
        <w:rFonts w:hint="default"/>
        <w:lang w:val="uk-UA" w:eastAsia="en-US" w:bidi="ar-SA"/>
      </w:rPr>
    </w:lvl>
    <w:lvl w:ilvl="8" w:tplc="9F5042BE">
      <w:numFmt w:val="bullet"/>
      <w:lvlText w:val="•"/>
      <w:lvlJc w:val="left"/>
      <w:pPr>
        <w:ind w:left="8176" w:hanging="378"/>
      </w:pPr>
      <w:rPr>
        <w:rFonts w:hint="default"/>
        <w:lang w:val="uk-UA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81"/>
    <w:rsid w:val="00052263"/>
    <w:rsid w:val="00072812"/>
    <w:rsid w:val="000D1E0A"/>
    <w:rsid w:val="000E7232"/>
    <w:rsid w:val="001428CE"/>
    <w:rsid w:val="001A08A3"/>
    <w:rsid w:val="00262281"/>
    <w:rsid w:val="002C573C"/>
    <w:rsid w:val="00325AB1"/>
    <w:rsid w:val="003726D0"/>
    <w:rsid w:val="00473ACE"/>
    <w:rsid w:val="00553F26"/>
    <w:rsid w:val="005E192C"/>
    <w:rsid w:val="00637241"/>
    <w:rsid w:val="00675B99"/>
    <w:rsid w:val="0076523E"/>
    <w:rsid w:val="00771E96"/>
    <w:rsid w:val="00793E40"/>
    <w:rsid w:val="008336ED"/>
    <w:rsid w:val="00872A4E"/>
    <w:rsid w:val="008B7B72"/>
    <w:rsid w:val="008F127B"/>
    <w:rsid w:val="00941A68"/>
    <w:rsid w:val="009D7D42"/>
    <w:rsid w:val="00BF72C5"/>
    <w:rsid w:val="00C333CC"/>
    <w:rsid w:val="00C42B42"/>
    <w:rsid w:val="00CC131A"/>
    <w:rsid w:val="00D04B76"/>
    <w:rsid w:val="00D06077"/>
    <w:rsid w:val="00D31435"/>
    <w:rsid w:val="00D845F5"/>
    <w:rsid w:val="00D87DB2"/>
    <w:rsid w:val="00F17A94"/>
    <w:rsid w:val="00F9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7B26"/>
  <w15:chartTrackingRefBased/>
  <w15:docId w15:val="{0ADAAA11-E0EF-4EAF-B6BE-1004F9E8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232"/>
    <w:pPr>
      <w:suppressAutoHyphens/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232"/>
    <w:pPr>
      <w:suppressAutoHyphens/>
    </w:pPr>
    <w:rPr>
      <w:color w:val="00000A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2622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262281"/>
    <w:rPr>
      <w:color w:val="00000A"/>
      <w:sz w:val="22"/>
      <w:szCs w:val="22"/>
    </w:rPr>
  </w:style>
  <w:style w:type="character" w:styleId="a6">
    <w:name w:val="page number"/>
    <w:basedOn w:val="a0"/>
    <w:rsid w:val="00262281"/>
  </w:style>
  <w:style w:type="paragraph" w:styleId="a7">
    <w:name w:val="Balloon Text"/>
    <w:basedOn w:val="a"/>
    <w:link w:val="a8"/>
    <w:uiPriority w:val="99"/>
    <w:semiHidden/>
    <w:unhideWhenUsed/>
    <w:rsid w:val="00D31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31435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5684</Words>
  <Characters>3241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Валентина Миколаївна</dc:creator>
  <cp:keywords/>
  <dc:description/>
  <cp:lastModifiedBy>Антонюк Валентина Миколаївна</cp:lastModifiedBy>
  <cp:revision>8</cp:revision>
  <cp:lastPrinted>2024-08-28T09:51:00Z</cp:lastPrinted>
  <dcterms:created xsi:type="dcterms:W3CDTF">2024-08-27T15:11:00Z</dcterms:created>
  <dcterms:modified xsi:type="dcterms:W3CDTF">2024-08-28T10:06:00Z</dcterms:modified>
</cp:coreProperties>
</file>