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1C47" w14:textId="77777777" w:rsidR="004470E4" w:rsidRPr="005F15AC" w:rsidRDefault="004470E4" w:rsidP="00BE75DA">
      <w:pPr>
        <w:spacing w:after="0" w:line="240" w:lineRule="auto"/>
        <w:contextualSpacing/>
        <w:jc w:val="center"/>
        <w:rPr>
          <w:rFonts w:ascii="Times New Roman" w:hAnsi="Times New Roman" w:cs="Times New Roman"/>
          <w:b/>
          <w:sz w:val="28"/>
          <w:szCs w:val="28"/>
        </w:rPr>
      </w:pPr>
      <w:r w:rsidRPr="005F15AC">
        <w:rPr>
          <w:rFonts w:ascii="Times New Roman" w:hAnsi="Times New Roman" w:cs="Times New Roman"/>
          <w:b/>
          <w:sz w:val="28"/>
          <w:szCs w:val="28"/>
        </w:rPr>
        <w:t>ПОЯСНЮВАЛЬНА ЗАПИСКА</w:t>
      </w:r>
    </w:p>
    <w:p w14:paraId="7EADEBD6" w14:textId="77777777" w:rsidR="0029537E" w:rsidRPr="005F15AC" w:rsidRDefault="004470E4" w:rsidP="009366BA">
      <w:pPr>
        <w:tabs>
          <w:tab w:val="left" w:pos="993"/>
        </w:tabs>
        <w:spacing w:after="0" w:line="240" w:lineRule="auto"/>
        <w:contextualSpacing/>
        <w:jc w:val="center"/>
        <w:rPr>
          <w:rFonts w:ascii="Times New Roman" w:eastAsia="Calibri" w:hAnsi="Times New Roman" w:cs="Times New Roman"/>
          <w:sz w:val="28"/>
          <w:szCs w:val="28"/>
        </w:rPr>
      </w:pPr>
      <w:r w:rsidRPr="005F15AC">
        <w:rPr>
          <w:rFonts w:ascii="Times New Roman" w:hAnsi="Times New Roman" w:cs="Times New Roman"/>
          <w:sz w:val="28"/>
          <w:szCs w:val="28"/>
        </w:rPr>
        <w:t>до проєкту р</w:t>
      </w:r>
      <w:r w:rsidR="00CE39AC" w:rsidRPr="005F15AC">
        <w:rPr>
          <w:rFonts w:ascii="Times New Roman" w:hAnsi="Times New Roman" w:cs="Times New Roman"/>
          <w:sz w:val="28"/>
          <w:szCs w:val="28"/>
        </w:rPr>
        <w:t>іше</w:t>
      </w:r>
      <w:r w:rsidR="00BE75DA" w:rsidRPr="005F15AC">
        <w:rPr>
          <w:rFonts w:ascii="Times New Roman" w:hAnsi="Times New Roman" w:cs="Times New Roman"/>
          <w:sz w:val="28"/>
          <w:szCs w:val="28"/>
        </w:rPr>
        <w:t xml:space="preserve">ння Київської міської ради </w:t>
      </w:r>
      <w:r w:rsidRPr="005F15AC">
        <w:rPr>
          <w:rFonts w:ascii="Times New Roman" w:hAnsi="Times New Roman" w:cs="Times New Roman"/>
          <w:sz w:val="28"/>
          <w:szCs w:val="28"/>
        </w:rPr>
        <w:t>«</w:t>
      </w:r>
      <w:r w:rsidR="002219B2" w:rsidRPr="005F15AC">
        <w:rPr>
          <w:rFonts w:ascii="Times New Roman" w:hAnsi="Times New Roman" w:cs="Times New Roman"/>
          <w:sz w:val="28"/>
          <w:szCs w:val="28"/>
        </w:rPr>
        <w:t xml:space="preserve">Про </w:t>
      </w:r>
      <w:r w:rsidR="0029537E" w:rsidRPr="005F15AC">
        <w:rPr>
          <w:rFonts w:ascii="Times New Roman" w:eastAsia="Calibri" w:hAnsi="Times New Roman" w:cs="Times New Roman"/>
          <w:sz w:val="28"/>
          <w:szCs w:val="28"/>
        </w:rPr>
        <w:t xml:space="preserve">затвердження Міської цільової програми розвитку транспортної інфраструктури міста Києва на </w:t>
      </w:r>
    </w:p>
    <w:p w14:paraId="268BD1B8" w14:textId="713D7909" w:rsidR="004470E4" w:rsidRPr="005F15AC" w:rsidRDefault="0029537E" w:rsidP="009366BA">
      <w:pPr>
        <w:tabs>
          <w:tab w:val="left" w:pos="993"/>
        </w:tabs>
        <w:spacing w:after="0" w:line="240" w:lineRule="auto"/>
        <w:contextualSpacing/>
        <w:jc w:val="center"/>
        <w:rPr>
          <w:rFonts w:ascii="Times New Roman" w:hAnsi="Times New Roman" w:cs="Times New Roman"/>
          <w:sz w:val="28"/>
          <w:szCs w:val="28"/>
        </w:rPr>
      </w:pPr>
      <w:r w:rsidRPr="005F15AC">
        <w:rPr>
          <w:rFonts w:ascii="Times New Roman" w:eastAsia="Calibri" w:hAnsi="Times New Roman" w:cs="Times New Roman"/>
          <w:sz w:val="28"/>
          <w:szCs w:val="28"/>
        </w:rPr>
        <w:t>2024-2025 роки</w:t>
      </w:r>
      <w:r w:rsidR="00BE75DA" w:rsidRPr="005F15AC">
        <w:rPr>
          <w:rFonts w:ascii="Times New Roman" w:hAnsi="Times New Roman" w:cs="Times New Roman"/>
          <w:sz w:val="28"/>
          <w:szCs w:val="28"/>
        </w:rPr>
        <w:t>»</w:t>
      </w:r>
    </w:p>
    <w:p w14:paraId="5CF9587C" w14:textId="77777777" w:rsidR="004470E4" w:rsidRPr="005F15AC" w:rsidRDefault="004470E4" w:rsidP="00BE75DA">
      <w:pPr>
        <w:pStyle w:val="a3"/>
        <w:spacing w:after="0" w:line="240" w:lineRule="auto"/>
        <w:ind w:left="1211"/>
        <w:jc w:val="both"/>
        <w:rPr>
          <w:rFonts w:ascii="Times New Roman" w:hAnsi="Times New Roman" w:cs="Times New Roman"/>
          <w:sz w:val="28"/>
          <w:szCs w:val="28"/>
        </w:rPr>
      </w:pPr>
    </w:p>
    <w:p w14:paraId="64C46250" w14:textId="18CFB463" w:rsidR="004470E4" w:rsidRPr="005F15AC" w:rsidRDefault="004470E4" w:rsidP="00075B86">
      <w:pPr>
        <w:spacing w:after="0" w:line="240" w:lineRule="auto"/>
        <w:ind w:firstLine="567"/>
        <w:contextualSpacing/>
        <w:jc w:val="both"/>
        <w:rPr>
          <w:rFonts w:ascii="Times New Roman" w:eastAsia="Times New Roman" w:hAnsi="Times New Roman" w:cs="Times New Roman"/>
          <w:b/>
          <w:sz w:val="28"/>
          <w:szCs w:val="28"/>
          <w:lang w:eastAsia="uk-UA"/>
        </w:rPr>
      </w:pPr>
      <w:r w:rsidRPr="005F15AC">
        <w:rPr>
          <w:rFonts w:ascii="Times New Roman" w:eastAsia="Times New Roman" w:hAnsi="Times New Roman" w:cs="Times New Roman"/>
          <w:b/>
          <w:sz w:val="28"/>
          <w:szCs w:val="28"/>
          <w:lang w:eastAsia="uk-UA"/>
        </w:rPr>
        <w:t xml:space="preserve">1. </w:t>
      </w:r>
      <w:r w:rsidR="00EA3AD4" w:rsidRPr="005F15AC">
        <w:rPr>
          <w:rFonts w:ascii="Times New Roman" w:eastAsia="Times New Roman" w:hAnsi="Times New Roman" w:cs="Times New Roman"/>
          <w:b/>
          <w:sz w:val="28"/>
          <w:szCs w:val="28"/>
          <w:lang w:eastAsia="uk-UA"/>
        </w:rPr>
        <w:t xml:space="preserve">Опис проблем, для вирішення яких підготовлено </w:t>
      </w:r>
      <w:proofErr w:type="spellStart"/>
      <w:r w:rsidR="00EA3AD4" w:rsidRPr="005F15AC">
        <w:rPr>
          <w:rFonts w:ascii="Times New Roman" w:eastAsia="Times New Roman" w:hAnsi="Times New Roman" w:cs="Times New Roman"/>
          <w:b/>
          <w:sz w:val="28"/>
          <w:szCs w:val="28"/>
          <w:lang w:eastAsia="uk-UA"/>
        </w:rPr>
        <w:t>проєкт</w:t>
      </w:r>
      <w:proofErr w:type="spellEnd"/>
      <w:r w:rsidR="00EA3AD4" w:rsidRPr="005F15AC">
        <w:rPr>
          <w:rFonts w:ascii="Times New Roman" w:eastAsia="Times New Roman" w:hAnsi="Times New Roman" w:cs="Times New Roman"/>
          <w:b/>
          <w:sz w:val="28"/>
          <w:szCs w:val="28"/>
          <w:lang w:eastAsia="uk-UA"/>
        </w:rPr>
        <w:t xml:space="preserve"> рішення, обґрунтування відповідності та достатності передбачених у </w:t>
      </w:r>
      <w:proofErr w:type="spellStart"/>
      <w:r w:rsidR="00EA3AD4" w:rsidRPr="005F15AC">
        <w:rPr>
          <w:rFonts w:ascii="Times New Roman" w:eastAsia="Times New Roman" w:hAnsi="Times New Roman" w:cs="Times New Roman"/>
          <w:b/>
          <w:sz w:val="28"/>
          <w:szCs w:val="28"/>
          <w:lang w:eastAsia="uk-UA"/>
        </w:rPr>
        <w:t>проєкті</w:t>
      </w:r>
      <w:proofErr w:type="spellEnd"/>
      <w:r w:rsidR="00EA3AD4" w:rsidRPr="005F15AC">
        <w:rPr>
          <w:rFonts w:ascii="Times New Roman" w:eastAsia="Times New Roman" w:hAnsi="Times New Roman" w:cs="Times New Roman"/>
          <w:b/>
          <w:sz w:val="28"/>
          <w:szCs w:val="28"/>
          <w:lang w:eastAsia="uk-UA"/>
        </w:rPr>
        <w:t xml:space="preserve"> рішення механізмів і способів вирішення існуючих проблем, а також актуальності цих проблем для територіальної громади міста Києва</w:t>
      </w:r>
    </w:p>
    <w:p w14:paraId="02A53C13" w14:textId="329A6950" w:rsidR="008E509B" w:rsidRPr="005F15AC" w:rsidRDefault="008E509B" w:rsidP="009C7D66">
      <w:pPr>
        <w:tabs>
          <w:tab w:val="left" w:pos="1134"/>
        </w:tabs>
        <w:spacing w:after="0" w:line="240" w:lineRule="auto"/>
        <w:ind w:firstLine="567"/>
        <w:jc w:val="both"/>
        <w:rPr>
          <w:rFonts w:ascii="Times New Roman" w:eastAsia="Calibri" w:hAnsi="Times New Roman" w:cs="Times New Roman"/>
          <w:sz w:val="28"/>
          <w:szCs w:val="28"/>
          <w:shd w:val="clear" w:color="auto" w:fill="FFFFFF"/>
        </w:rPr>
      </w:pPr>
      <w:r w:rsidRPr="005F15AC">
        <w:rPr>
          <w:rFonts w:ascii="Times New Roman" w:eastAsia="Calibri" w:hAnsi="Times New Roman" w:cs="Times New Roman"/>
          <w:sz w:val="28"/>
          <w:szCs w:val="28"/>
          <w:shd w:val="clear" w:color="auto" w:fill="FFFFFF"/>
        </w:rPr>
        <w:t xml:space="preserve">Департамент транспортної інфраструктури виконавчого органу Київської міської ради (Київської міської державної адміністрації) на виконання розпорядження Київського міського голови В. Кличка від </w:t>
      </w:r>
      <w:r w:rsidRPr="005F15AC">
        <w:rPr>
          <w:rFonts w:ascii="Times New Roman" w:eastAsia="Times New Roman" w:hAnsi="Times New Roman" w:cs="Times New Roman"/>
          <w:iCs/>
          <w:sz w:val="28"/>
          <w:szCs w:val="28"/>
          <w:lang w:eastAsia="ru-RU"/>
        </w:rPr>
        <w:t>10 квітня 2023 року № 287 «Про підготовку проєкту Міської цільової програми розвитку транспортної інфраструктури міста Києва на 2024-2025 роки</w:t>
      </w:r>
      <w:r w:rsidRPr="005F15AC">
        <w:rPr>
          <w:rFonts w:ascii="Times New Roman" w:eastAsia="Calibri" w:hAnsi="Times New Roman" w:cs="Times New Roman"/>
          <w:sz w:val="28"/>
          <w:szCs w:val="28"/>
          <w:shd w:val="clear" w:color="auto" w:fill="FFFFFF"/>
        </w:rPr>
        <w:t xml:space="preserve">» (далі – Програма) розробив </w:t>
      </w:r>
      <w:proofErr w:type="spellStart"/>
      <w:r w:rsidRPr="005F15AC">
        <w:rPr>
          <w:rFonts w:ascii="Times New Roman" w:eastAsia="Calibri" w:hAnsi="Times New Roman" w:cs="Times New Roman"/>
          <w:sz w:val="28"/>
          <w:szCs w:val="28"/>
          <w:shd w:val="clear" w:color="auto" w:fill="FFFFFF"/>
        </w:rPr>
        <w:t>проєкт</w:t>
      </w:r>
      <w:proofErr w:type="spellEnd"/>
      <w:r w:rsidRPr="005F15AC">
        <w:rPr>
          <w:rFonts w:ascii="Times New Roman" w:eastAsia="Calibri" w:hAnsi="Times New Roman" w:cs="Times New Roman"/>
          <w:sz w:val="28"/>
          <w:szCs w:val="28"/>
          <w:shd w:val="clear" w:color="auto" w:fill="FFFFFF"/>
        </w:rPr>
        <w:t xml:space="preserve"> зазначеної Програми.</w:t>
      </w:r>
    </w:p>
    <w:p w14:paraId="3FFBBC49" w14:textId="24F0667C" w:rsidR="003037D4" w:rsidRPr="005F15AC" w:rsidRDefault="00843BD3" w:rsidP="003037D4">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5F15AC">
        <w:rPr>
          <w:rFonts w:ascii="Times New Roman" w:eastAsia="Times New Roman" w:hAnsi="Times New Roman" w:cs="Times New Roman"/>
          <w:sz w:val="28"/>
          <w:szCs w:val="28"/>
          <w:shd w:val="clear" w:color="auto" w:fill="FFFFFF"/>
          <w:lang w:eastAsia="uk-UA"/>
        </w:rPr>
        <w:t>Департаментом економіки та інвестицій виконавчого органу Київської міської ради (Київської міської державної адміністрації) та Департаментом фінансів виконавчого органу Київської міської ради (Київської міської державної адміністрації) надано позитивні висновки про погодження проєкту Міської цільової програми</w:t>
      </w:r>
      <w:r w:rsidRPr="005F15AC">
        <w:rPr>
          <w:rFonts w:ascii="Times New Roman" w:eastAsia="Times New Roman" w:hAnsi="Times New Roman" w:cs="Times New Roman"/>
          <w:iCs/>
          <w:sz w:val="28"/>
          <w:szCs w:val="28"/>
          <w:lang w:eastAsia="ru-RU"/>
        </w:rPr>
        <w:t xml:space="preserve"> розвитку транспортної інфраструктури міста Києва на 2024-2025 роки.</w:t>
      </w:r>
    </w:p>
    <w:p w14:paraId="2195E5EF" w14:textId="10705C81" w:rsidR="00843BD3" w:rsidRPr="005F15AC" w:rsidRDefault="007C3D79" w:rsidP="003037D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F15AC">
        <w:rPr>
          <w:rFonts w:ascii="Times New Roman" w:eastAsia="Times New Roman" w:hAnsi="Times New Roman" w:cs="Times New Roman"/>
          <w:color w:val="000000" w:themeColor="text1"/>
          <w:sz w:val="28"/>
          <w:szCs w:val="28"/>
          <w:lang w:eastAsia="ru-RU"/>
        </w:rPr>
        <w:t xml:space="preserve">Відповідно до розпорядження начальника Київської міської військової адміністрації від 09 листопад 2023 року № 907 «Про схвалення </w:t>
      </w:r>
      <w:proofErr w:type="spellStart"/>
      <w:r w:rsidRPr="005F15AC">
        <w:rPr>
          <w:rFonts w:ascii="Times New Roman" w:eastAsia="Times New Roman" w:hAnsi="Times New Roman" w:cs="Times New Roman"/>
          <w:color w:val="000000" w:themeColor="text1"/>
          <w:sz w:val="28"/>
          <w:szCs w:val="28"/>
          <w:lang w:eastAsia="ru-RU"/>
        </w:rPr>
        <w:t>проєктів</w:t>
      </w:r>
      <w:proofErr w:type="spellEnd"/>
      <w:r w:rsidRPr="005F15AC">
        <w:rPr>
          <w:rFonts w:ascii="Times New Roman" w:eastAsia="Times New Roman" w:hAnsi="Times New Roman" w:cs="Times New Roman"/>
          <w:color w:val="000000" w:themeColor="text1"/>
          <w:sz w:val="28"/>
          <w:szCs w:val="28"/>
          <w:lang w:eastAsia="ru-RU"/>
        </w:rPr>
        <w:t xml:space="preserve"> міських цільових програм міста Києва» схвалено </w:t>
      </w:r>
      <w:proofErr w:type="spellStart"/>
      <w:r w:rsidRPr="005F15AC">
        <w:rPr>
          <w:rFonts w:ascii="Times New Roman" w:eastAsia="Times New Roman" w:hAnsi="Times New Roman" w:cs="Times New Roman"/>
          <w:color w:val="000000" w:themeColor="text1"/>
          <w:sz w:val="28"/>
          <w:szCs w:val="28"/>
          <w:lang w:eastAsia="ru-RU"/>
        </w:rPr>
        <w:t>проєкт</w:t>
      </w:r>
      <w:proofErr w:type="spellEnd"/>
      <w:r w:rsidRPr="005F15AC">
        <w:rPr>
          <w:rFonts w:ascii="Times New Roman" w:eastAsia="Times New Roman" w:hAnsi="Times New Roman" w:cs="Times New Roman"/>
          <w:color w:val="000000" w:themeColor="text1"/>
          <w:sz w:val="28"/>
          <w:szCs w:val="28"/>
          <w:lang w:eastAsia="ru-RU"/>
        </w:rPr>
        <w:t xml:space="preserve"> Програми.</w:t>
      </w:r>
    </w:p>
    <w:p w14:paraId="7D2FA6D8" w14:textId="77777777" w:rsidR="00E70A26" w:rsidRPr="005F15AC" w:rsidRDefault="00E70A26" w:rsidP="00E70A26">
      <w:pPr>
        <w:spacing w:after="0" w:line="240" w:lineRule="auto"/>
        <w:ind w:firstLine="567"/>
        <w:jc w:val="both"/>
        <w:rPr>
          <w:rFonts w:ascii="Times New Roman" w:eastAsia="Times New Roman" w:hAnsi="Times New Roman" w:cs="Times New Roman"/>
          <w:sz w:val="28"/>
          <w:szCs w:val="26"/>
          <w:lang w:eastAsia="ru-RU"/>
        </w:rPr>
      </w:pPr>
      <w:r w:rsidRPr="005F15AC">
        <w:rPr>
          <w:rFonts w:ascii="Times New Roman" w:eastAsia="Times New Roman" w:hAnsi="Times New Roman" w:cs="Times New Roman"/>
          <w:sz w:val="28"/>
          <w:szCs w:val="26"/>
          <w:lang w:eastAsia="ru-RU"/>
        </w:rPr>
        <w:t>Програма спрямована на вирішення питань, серед яких:</w:t>
      </w:r>
    </w:p>
    <w:p w14:paraId="2820B417"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0" w:name="_Hlk145672971"/>
      <w:r w:rsidRPr="005F15AC">
        <w:rPr>
          <w:rFonts w:ascii="Times New Roman" w:eastAsia="Times New Roman" w:hAnsi="Times New Roman" w:cs="Times New Roman"/>
          <w:sz w:val="28"/>
          <w:szCs w:val="28"/>
          <w:lang w:eastAsia="ru-RU"/>
        </w:rPr>
        <w:t>Відсутність Плану сталої міської мобільності.</w:t>
      </w:r>
    </w:p>
    <w:bookmarkEnd w:id="0"/>
    <w:p w14:paraId="09A9A782"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Невідповідність сучасним європейським вимогам інфраструктури вулиць та автомобільних доріг.</w:t>
      </w:r>
    </w:p>
    <w:p w14:paraId="4C8BCED6"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Низький рівень впровадження та практичного застосування новітніх технологій, автоматизованих засобів контролю, регулювання дорожнього руху.</w:t>
      </w:r>
    </w:p>
    <w:p w14:paraId="2A8AD2D1"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 xml:space="preserve">Недосконалість системи впорядкування </w:t>
      </w:r>
      <w:proofErr w:type="spellStart"/>
      <w:r w:rsidRPr="005F15AC">
        <w:rPr>
          <w:rFonts w:ascii="Times New Roman" w:eastAsia="Times New Roman" w:hAnsi="Times New Roman" w:cs="Times New Roman"/>
          <w:sz w:val="28"/>
          <w:szCs w:val="28"/>
          <w:lang w:eastAsia="ru-RU"/>
        </w:rPr>
        <w:t>паркувального</w:t>
      </w:r>
      <w:proofErr w:type="spellEnd"/>
      <w:r w:rsidRPr="005F15AC">
        <w:rPr>
          <w:rFonts w:ascii="Times New Roman" w:eastAsia="Times New Roman" w:hAnsi="Times New Roman" w:cs="Times New Roman"/>
          <w:sz w:val="28"/>
          <w:szCs w:val="28"/>
          <w:lang w:eastAsia="ru-RU"/>
        </w:rPr>
        <w:t xml:space="preserve"> простору.</w:t>
      </w:r>
    </w:p>
    <w:p w14:paraId="2AC6650F"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Низький рівень безпеки дорожнього руху.</w:t>
      </w:r>
    </w:p>
    <w:p w14:paraId="181FAEB8"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Невідповідність</w:t>
      </w:r>
      <w:r w:rsidRPr="005F15AC">
        <w:rPr>
          <w:rFonts w:ascii="Times New Roman" w:eastAsia="Times New Roman" w:hAnsi="Times New Roman" w:cs="Times New Roman"/>
          <w:i/>
          <w:sz w:val="28"/>
          <w:szCs w:val="28"/>
          <w:lang w:eastAsia="ru-RU"/>
        </w:rPr>
        <w:t xml:space="preserve"> </w:t>
      </w:r>
      <w:r w:rsidRPr="005F15AC">
        <w:rPr>
          <w:rFonts w:ascii="Times New Roman" w:eastAsia="Times New Roman" w:hAnsi="Times New Roman" w:cs="Times New Roman"/>
          <w:sz w:val="28"/>
          <w:szCs w:val="28"/>
          <w:lang w:eastAsia="ru-RU"/>
        </w:rPr>
        <w:t>існуючого освітлення сучасним вимогам та нормативам енергозбереження.</w:t>
      </w:r>
    </w:p>
    <w:p w14:paraId="127E7A26"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 xml:space="preserve">Низький рівень доступності транспортної інфраструктури для осіб з інвалідністю та інших </w:t>
      </w:r>
      <w:proofErr w:type="spellStart"/>
      <w:r w:rsidRPr="005F15AC">
        <w:rPr>
          <w:rFonts w:ascii="Times New Roman" w:eastAsia="Times New Roman" w:hAnsi="Times New Roman" w:cs="Times New Roman"/>
          <w:sz w:val="28"/>
          <w:szCs w:val="28"/>
          <w:lang w:eastAsia="ru-RU"/>
        </w:rPr>
        <w:t>маломобільних</w:t>
      </w:r>
      <w:proofErr w:type="spellEnd"/>
      <w:r w:rsidRPr="005F15AC">
        <w:rPr>
          <w:rFonts w:ascii="Times New Roman" w:eastAsia="Times New Roman" w:hAnsi="Times New Roman" w:cs="Times New Roman"/>
          <w:sz w:val="28"/>
          <w:szCs w:val="28"/>
          <w:lang w:eastAsia="ru-RU"/>
        </w:rPr>
        <w:t xml:space="preserve"> груп населення.</w:t>
      </w:r>
    </w:p>
    <w:p w14:paraId="1920CB37"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 xml:space="preserve">Відсутність єдиної велосипедної мережі та </w:t>
      </w:r>
      <w:proofErr w:type="spellStart"/>
      <w:r w:rsidRPr="005F15AC">
        <w:rPr>
          <w:rFonts w:ascii="Times New Roman" w:eastAsia="Times New Roman" w:hAnsi="Times New Roman" w:cs="Times New Roman"/>
          <w:sz w:val="28"/>
          <w:szCs w:val="28"/>
          <w:lang w:eastAsia="ru-RU"/>
        </w:rPr>
        <w:t>велоінфраструктури</w:t>
      </w:r>
      <w:proofErr w:type="spellEnd"/>
      <w:r w:rsidRPr="005F15AC">
        <w:rPr>
          <w:rFonts w:ascii="Times New Roman" w:eastAsia="Times New Roman" w:hAnsi="Times New Roman" w:cs="Times New Roman"/>
          <w:sz w:val="28"/>
          <w:szCs w:val="28"/>
          <w:lang w:eastAsia="ru-RU"/>
        </w:rPr>
        <w:t>.</w:t>
      </w:r>
    </w:p>
    <w:p w14:paraId="1A20B46E"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Недостатній рівень розвитку громадського транспорту та забезпечення якісної транспортної пропозиції.</w:t>
      </w:r>
    </w:p>
    <w:p w14:paraId="73B6A352"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Негативний вплив автомобільного транспорту на довкілля.</w:t>
      </w:r>
    </w:p>
    <w:p w14:paraId="40A465F1"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Необхідність утримання в належному стані та модернізації транспортних об’єктів критичної інфраструктури.</w:t>
      </w:r>
    </w:p>
    <w:p w14:paraId="7DE7B0C7" w14:textId="77777777" w:rsidR="00E70A26" w:rsidRPr="005F15AC" w:rsidRDefault="00E70A26" w:rsidP="00E70A2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Необхідність забезпечення цивільного захисту населення.</w:t>
      </w:r>
    </w:p>
    <w:p w14:paraId="7B348A3A" w14:textId="77777777" w:rsidR="00B91148" w:rsidRPr="005F15AC" w:rsidRDefault="00B91148" w:rsidP="00E70A26">
      <w:pPr>
        <w:spacing w:after="0" w:line="240" w:lineRule="auto"/>
        <w:ind w:firstLine="567"/>
        <w:jc w:val="both"/>
        <w:rPr>
          <w:rFonts w:ascii="Times New Roman" w:eastAsia="Times New Roman" w:hAnsi="Times New Roman" w:cs="Times New Roman"/>
          <w:sz w:val="28"/>
          <w:szCs w:val="28"/>
          <w:lang w:eastAsia="ru-RU"/>
        </w:rPr>
      </w:pPr>
    </w:p>
    <w:p w14:paraId="0D73EB4C" w14:textId="5F0C7014" w:rsidR="00E70A26" w:rsidRPr="005F15AC" w:rsidRDefault="00E70A26" w:rsidP="00E70A26">
      <w:pPr>
        <w:spacing w:after="0" w:line="240" w:lineRule="auto"/>
        <w:ind w:firstLine="567"/>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 xml:space="preserve">Базуючись на аналізі поточного стану транспортної інфраструктури міста в реаліях воєнного часу, дотримуючись успішних європейських практик, з </w:t>
      </w:r>
      <w:r w:rsidRPr="005F15AC">
        <w:rPr>
          <w:rFonts w:ascii="Times New Roman" w:eastAsia="Times New Roman" w:hAnsi="Times New Roman" w:cs="Times New Roman"/>
          <w:sz w:val="28"/>
          <w:szCs w:val="28"/>
          <w:lang w:eastAsia="ru-RU"/>
        </w:rPr>
        <w:lastRenderedPageBreak/>
        <w:t xml:space="preserve">урахуванням інтересів всіх цільових груп населення: чоловіків та жінок, дітей, молоді, громадян, які потребують соціального захисту, осіб з інвалідністю та інших </w:t>
      </w:r>
      <w:proofErr w:type="spellStart"/>
      <w:r w:rsidRPr="005F15AC">
        <w:rPr>
          <w:rFonts w:ascii="Times New Roman" w:eastAsia="Times New Roman" w:hAnsi="Times New Roman" w:cs="Times New Roman"/>
          <w:sz w:val="28"/>
          <w:szCs w:val="28"/>
          <w:lang w:eastAsia="ru-RU"/>
        </w:rPr>
        <w:t>маломобільних</w:t>
      </w:r>
      <w:proofErr w:type="spellEnd"/>
      <w:r w:rsidRPr="005F15AC">
        <w:rPr>
          <w:rFonts w:ascii="Times New Roman" w:eastAsia="Times New Roman" w:hAnsi="Times New Roman" w:cs="Times New Roman"/>
          <w:sz w:val="28"/>
          <w:szCs w:val="28"/>
          <w:lang w:eastAsia="ru-RU"/>
        </w:rPr>
        <w:t xml:space="preserve"> груп було виокремлено і запропоновано наступні шляхи подолання проблем, а саме:</w:t>
      </w:r>
    </w:p>
    <w:p w14:paraId="33167C01" w14:textId="0D8D754F"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розробка та прийняття плану сталої міської мобільності;</w:t>
      </w:r>
    </w:p>
    <w:p w14:paraId="00A01174" w14:textId="79300962"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 xml:space="preserve">розвиток та вдосконалення </w:t>
      </w:r>
      <w:proofErr w:type="spellStart"/>
      <w:r w:rsidRPr="005F15AC">
        <w:rPr>
          <w:rFonts w:ascii="Times New Roman" w:eastAsia="Times New Roman" w:hAnsi="Times New Roman" w:cs="Times New Roman"/>
          <w:sz w:val="28"/>
          <w:szCs w:val="28"/>
          <w:lang w:eastAsia="ru-RU"/>
        </w:rPr>
        <w:t>вулично</w:t>
      </w:r>
      <w:proofErr w:type="spellEnd"/>
      <w:r w:rsidRPr="005F15AC">
        <w:rPr>
          <w:rFonts w:ascii="Times New Roman" w:eastAsia="Times New Roman" w:hAnsi="Times New Roman" w:cs="Times New Roman"/>
          <w:sz w:val="28"/>
          <w:szCs w:val="28"/>
          <w:lang w:eastAsia="ru-RU"/>
        </w:rPr>
        <w:t>-шляхової мережі;</w:t>
      </w:r>
    </w:p>
    <w:p w14:paraId="17CA2F83" w14:textId="2FCB59D1"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інформатизації транспортної системи;</w:t>
      </w:r>
    </w:p>
    <w:p w14:paraId="428D7A0D" w14:textId="51978BB8"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 xml:space="preserve">вдосконалення системи </w:t>
      </w:r>
      <w:proofErr w:type="spellStart"/>
      <w:r w:rsidRPr="005F15AC">
        <w:rPr>
          <w:rFonts w:ascii="Times New Roman" w:eastAsia="Times New Roman" w:hAnsi="Times New Roman" w:cs="Times New Roman"/>
          <w:sz w:val="28"/>
          <w:szCs w:val="28"/>
          <w:lang w:eastAsia="ru-RU"/>
        </w:rPr>
        <w:t>паркувального</w:t>
      </w:r>
      <w:proofErr w:type="spellEnd"/>
      <w:r w:rsidRPr="005F15AC">
        <w:rPr>
          <w:rFonts w:ascii="Times New Roman" w:eastAsia="Times New Roman" w:hAnsi="Times New Roman" w:cs="Times New Roman"/>
          <w:sz w:val="28"/>
          <w:szCs w:val="28"/>
          <w:lang w:eastAsia="ru-RU"/>
        </w:rPr>
        <w:t xml:space="preserve"> простору;</w:t>
      </w:r>
    </w:p>
    <w:p w14:paraId="48901250" w14:textId="01C3C416"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підвищення безпеки дорожнього руху;</w:t>
      </w:r>
    </w:p>
    <w:p w14:paraId="5A1B5117" w14:textId="385ECF07"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підвищення енергоефективності;</w:t>
      </w:r>
    </w:p>
    <w:p w14:paraId="6502CAE0" w14:textId="68B70CB0"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 xml:space="preserve">підвищення рівня </w:t>
      </w:r>
      <w:proofErr w:type="spellStart"/>
      <w:r w:rsidRPr="005F15AC">
        <w:rPr>
          <w:rFonts w:ascii="Times New Roman" w:eastAsia="Times New Roman" w:hAnsi="Times New Roman" w:cs="Times New Roman"/>
          <w:sz w:val="28"/>
          <w:szCs w:val="28"/>
          <w:lang w:eastAsia="ru-RU"/>
        </w:rPr>
        <w:t>безбар’єрності</w:t>
      </w:r>
      <w:proofErr w:type="spellEnd"/>
      <w:r w:rsidRPr="005F15AC">
        <w:rPr>
          <w:rFonts w:ascii="Times New Roman" w:eastAsia="Times New Roman" w:hAnsi="Times New Roman" w:cs="Times New Roman"/>
          <w:sz w:val="28"/>
          <w:szCs w:val="28"/>
          <w:lang w:eastAsia="ru-RU"/>
        </w:rPr>
        <w:t xml:space="preserve"> транспортної інфраструктури;</w:t>
      </w:r>
    </w:p>
    <w:p w14:paraId="372DE651" w14:textId="4EB59B78"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 xml:space="preserve">розвиток та популяризація велосипедного руху шляхом створення єдиної велосипедної мережі та </w:t>
      </w:r>
      <w:proofErr w:type="spellStart"/>
      <w:r w:rsidRPr="005F15AC">
        <w:rPr>
          <w:rFonts w:ascii="Times New Roman" w:eastAsia="Times New Roman" w:hAnsi="Times New Roman" w:cs="Times New Roman"/>
          <w:sz w:val="28"/>
          <w:szCs w:val="28"/>
          <w:lang w:eastAsia="ru-RU"/>
        </w:rPr>
        <w:t>велоінфраструктури</w:t>
      </w:r>
      <w:proofErr w:type="spellEnd"/>
      <w:r w:rsidRPr="005F15AC">
        <w:rPr>
          <w:rFonts w:ascii="Times New Roman" w:eastAsia="Times New Roman" w:hAnsi="Times New Roman" w:cs="Times New Roman"/>
          <w:sz w:val="28"/>
          <w:szCs w:val="28"/>
          <w:lang w:eastAsia="ru-RU"/>
        </w:rPr>
        <w:t xml:space="preserve"> задля комфортного пересування громадян;</w:t>
      </w:r>
    </w:p>
    <w:p w14:paraId="76E97D53" w14:textId="3E4FC99D"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розвиток громадського транспорту, зокрема пріоритетний розвиток систем швидкісного рейкового транспорту, тролейбусного/автобусного сполучення;</w:t>
      </w:r>
    </w:p>
    <w:p w14:paraId="7679D96D" w14:textId="0EDAC5AD"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забезпечення якісної транспортної пропозиції;</w:t>
      </w:r>
    </w:p>
    <w:p w14:paraId="3B97299A" w14:textId="231FBCC1"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зменшення негативного впливу автомобільного транспорту на довкілля, зокрема шляхом якісного оновлення рухомого складу громадського транспорту;</w:t>
      </w:r>
    </w:p>
    <w:p w14:paraId="3123CE4A" w14:textId="5802D4A4"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 xml:space="preserve">утримання в належному стані та модернізація транспортних </w:t>
      </w:r>
      <w:bookmarkStart w:id="1" w:name="_Hlk148018459"/>
      <w:r w:rsidRPr="005F15AC">
        <w:rPr>
          <w:rFonts w:ascii="Times New Roman" w:eastAsia="Times New Roman" w:hAnsi="Times New Roman" w:cs="Times New Roman"/>
          <w:sz w:val="28"/>
          <w:szCs w:val="28"/>
          <w:lang w:eastAsia="ru-RU"/>
        </w:rPr>
        <w:t>об’єктів критичної інфраструктури</w:t>
      </w:r>
      <w:bookmarkEnd w:id="1"/>
      <w:r w:rsidRPr="005F15AC">
        <w:rPr>
          <w:rFonts w:ascii="Times New Roman" w:eastAsia="Times New Roman" w:hAnsi="Times New Roman" w:cs="Times New Roman"/>
          <w:sz w:val="28"/>
          <w:szCs w:val="28"/>
          <w:lang w:eastAsia="ru-RU"/>
        </w:rPr>
        <w:t>;</w:t>
      </w:r>
    </w:p>
    <w:p w14:paraId="63521F86" w14:textId="3DDB082F" w:rsidR="00E70A26" w:rsidRPr="005F15AC" w:rsidRDefault="00E70A26" w:rsidP="00E70A26">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5F15AC">
        <w:rPr>
          <w:rFonts w:ascii="Times New Roman" w:eastAsia="Times New Roman" w:hAnsi="Times New Roman" w:cs="Times New Roman"/>
          <w:sz w:val="28"/>
          <w:szCs w:val="28"/>
          <w:lang w:eastAsia="ru-RU"/>
        </w:rPr>
        <w:t>підвищення ефективності превентивних заходів у сфері цивільного захисту.</w:t>
      </w:r>
    </w:p>
    <w:p w14:paraId="533215B6" w14:textId="77777777" w:rsidR="007C3D79" w:rsidRPr="005F15AC" w:rsidRDefault="007C3D79" w:rsidP="00E70A26">
      <w:pPr>
        <w:spacing w:after="0" w:line="240" w:lineRule="auto"/>
        <w:jc w:val="both"/>
        <w:rPr>
          <w:rFonts w:ascii="Times New Roman" w:eastAsia="Times New Roman" w:hAnsi="Times New Roman" w:cs="Times New Roman"/>
          <w:color w:val="000000" w:themeColor="text1"/>
          <w:sz w:val="28"/>
          <w:szCs w:val="28"/>
          <w:lang w:eastAsia="ru-RU"/>
        </w:rPr>
      </w:pPr>
    </w:p>
    <w:p w14:paraId="555EE156" w14:textId="77777777" w:rsidR="00BE75DA" w:rsidRPr="005F15AC" w:rsidRDefault="00BE75DA" w:rsidP="00BE75DA">
      <w:pPr>
        <w:shd w:val="clear" w:color="auto" w:fill="FFFFFF"/>
        <w:spacing w:after="0" w:line="240" w:lineRule="auto"/>
        <w:ind w:firstLine="567"/>
        <w:jc w:val="both"/>
        <w:rPr>
          <w:rFonts w:ascii="Times New Roman" w:eastAsia="Times New Roman" w:hAnsi="Times New Roman" w:cs="Times New Roman"/>
          <w:bCs/>
          <w:color w:val="000000"/>
          <w:sz w:val="28"/>
          <w:szCs w:val="28"/>
          <w:lang w:eastAsia="uk-UA"/>
        </w:rPr>
      </w:pPr>
      <w:r w:rsidRPr="005F15AC">
        <w:rPr>
          <w:rFonts w:ascii="Times New Roman" w:eastAsia="Times New Roman" w:hAnsi="Times New Roman" w:cs="Times New Roman"/>
          <w:b/>
          <w:bCs/>
          <w:color w:val="000000"/>
          <w:sz w:val="28"/>
          <w:szCs w:val="28"/>
          <w:lang w:eastAsia="ru-RU"/>
        </w:rPr>
        <w:t xml:space="preserve">2.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sidRPr="005F15AC">
        <w:rPr>
          <w:rFonts w:ascii="Times New Roman" w:eastAsia="Times New Roman" w:hAnsi="Times New Roman" w:cs="Times New Roman"/>
          <w:b/>
          <w:bCs/>
          <w:color w:val="000000"/>
          <w:sz w:val="28"/>
          <w:szCs w:val="28"/>
          <w:lang w:eastAsia="ru-RU"/>
        </w:rPr>
        <w:t>проєкт</w:t>
      </w:r>
      <w:proofErr w:type="spellEnd"/>
      <w:r w:rsidRPr="005F15AC">
        <w:rPr>
          <w:rFonts w:ascii="Times New Roman" w:eastAsia="Times New Roman" w:hAnsi="Times New Roman" w:cs="Times New Roman"/>
          <w:b/>
          <w:bCs/>
          <w:color w:val="000000"/>
          <w:sz w:val="28"/>
          <w:szCs w:val="28"/>
          <w:lang w:eastAsia="ru-RU"/>
        </w:rPr>
        <w:t xml:space="preserve"> рішення)</w:t>
      </w:r>
    </w:p>
    <w:p w14:paraId="49B4FEA6" w14:textId="473680CB" w:rsidR="002C5149" w:rsidRPr="005F15AC" w:rsidRDefault="00B974D3" w:rsidP="008E509B">
      <w:pPr>
        <w:spacing w:after="0" w:line="240" w:lineRule="auto"/>
        <w:ind w:firstLine="567"/>
        <w:jc w:val="both"/>
        <w:rPr>
          <w:rFonts w:ascii="Times New Roman" w:eastAsia="Calibri" w:hAnsi="Times New Roman" w:cs="Times New Roman"/>
          <w:sz w:val="28"/>
          <w:szCs w:val="28"/>
          <w:shd w:val="clear" w:color="auto" w:fill="FFFFFF"/>
        </w:rPr>
      </w:pPr>
      <w:r w:rsidRPr="005F15AC">
        <w:rPr>
          <w:rFonts w:ascii="Times New Roman" w:eastAsia="Times New Roman" w:hAnsi="Times New Roman" w:cs="Times New Roman"/>
          <w:color w:val="000000" w:themeColor="text1"/>
          <w:sz w:val="28"/>
          <w:szCs w:val="28"/>
          <w:lang w:eastAsia="ru-RU"/>
        </w:rPr>
        <w:t xml:space="preserve">Даний </w:t>
      </w:r>
      <w:proofErr w:type="spellStart"/>
      <w:r w:rsidRPr="005F15AC">
        <w:rPr>
          <w:rFonts w:ascii="Times New Roman" w:eastAsia="Times New Roman" w:hAnsi="Times New Roman" w:cs="Times New Roman"/>
          <w:color w:val="000000" w:themeColor="text1"/>
          <w:sz w:val="28"/>
          <w:szCs w:val="28"/>
          <w:lang w:eastAsia="ru-RU"/>
        </w:rPr>
        <w:t>проєкт</w:t>
      </w:r>
      <w:proofErr w:type="spellEnd"/>
      <w:r w:rsidRPr="005F15AC">
        <w:rPr>
          <w:rFonts w:ascii="Times New Roman" w:eastAsia="Times New Roman" w:hAnsi="Times New Roman" w:cs="Times New Roman"/>
          <w:color w:val="000000" w:themeColor="text1"/>
          <w:sz w:val="28"/>
          <w:szCs w:val="28"/>
          <w:lang w:eastAsia="ru-RU"/>
        </w:rPr>
        <w:t xml:space="preserve"> рішення Київської міської ради підготовлено відповідно </w:t>
      </w:r>
      <w:r w:rsidRPr="005F15AC">
        <w:rPr>
          <w:rFonts w:ascii="Times New Roman" w:eastAsia="Times New Roman" w:hAnsi="Times New Roman" w:cs="Times New Roman"/>
          <w:sz w:val="28"/>
          <w:szCs w:val="28"/>
          <w:lang w:eastAsia="ru-RU"/>
        </w:rPr>
        <w:t xml:space="preserve">до </w:t>
      </w:r>
      <w:r w:rsidR="00B91148" w:rsidRPr="005F15AC">
        <w:rPr>
          <w:rFonts w:ascii="Times New Roman" w:eastAsia="Calibri" w:hAnsi="Times New Roman" w:cs="Times New Roman"/>
          <w:sz w:val="28"/>
          <w:szCs w:val="28"/>
        </w:rPr>
        <w:t>законів</w:t>
      </w:r>
      <w:r w:rsidR="008E509B" w:rsidRPr="005F15AC">
        <w:rPr>
          <w:rFonts w:ascii="Times New Roman" w:eastAsia="Calibri" w:hAnsi="Times New Roman" w:cs="Times New Roman"/>
          <w:sz w:val="28"/>
          <w:szCs w:val="28"/>
        </w:rPr>
        <w:t xml:space="preserve"> України «Про місцеве самоврядування в Україні»</w:t>
      </w:r>
      <w:r w:rsidR="008E509B" w:rsidRPr="005F15AC">
        <w:rPr>
          <w:rFonts w:ascii="Times New Roman" w:eastAsia="Calibri" w:hAnsi="Times New Roman" w:cs="Times New Roman"/>
          <w:sz w:val="28"/>
          <w:szCs w:val="28"/>
          <w:shd w:val="clear" w:color="auto" w:fill="FFFFFF"/>
        </w:rPr>
        <w:t>,</w:t>
      </w:r>
      <w:r w:rsidR="00B91148" w:rsidRPr="005F15AC">
        <w:rPr>
          <w:rFonts w:ascii="Times New Roman" w:eastAsia="Calibri" w:hAnsi="Times New Roman" w:cs="Times New Roman"/>
          <w:sz w:val="28"/>
          <w:szCs w:val="28"/>
          <w:shd w:val="clear" w:color="auto" w:fill="FFFFFF"/>
        </w:rPr>
        <w:t xml:space="preserve"> «Про транспорт», «Про автомобільний транспорт», «Про міський електричний транспорт»</w:t>
      </w:r>
      <w:r w:rsidR="008E509B" w:rsidRPr="005F15AC">
        <w:rPr>
          <w:rFonts w:ascii="Times New Roman" w:eastAsia="Calibri" w:hAnsi="Times New Roman" w:cs="Times New Roman"/>
          <w:sz w:val="28"/>
          <w:szCs w:val="28"/>
          <w:shd w:val="clear" w:color="auto" w:fill="FFFFFF"/>
        </w:rPr>
        <w:t> </w:t>
      </w:r>
      <w:r w:rsidR="00B91148" w:rsidRPr="005F15AC">
        <w:rPr>
          <w:rFonts w:ascii="Times New Roman" w:eastAsia="Calibri" w:hAnsi="Times New Roman" w:cs="Times New Roman"/>
          <w:sz w:val="28"/>
          <w:szCs w:val="28"/>
        </w:rPr>
        <w:t>рішень</w:t>
      </w:r>
      <w:r w:rsidR="008E509B" w:rsidRPr="005F15AC">
        <w:rPr>
          <w:rFonts w:ascii="Times New Roman" w:eastAsia="Calibri" w:hAnsi="Times New Roman" w:cs="Times New Roman"/>
          <w:sz w:val="28"/>
          <w:szCs w:val="28"/>
        </w:rPr>
        <w:t xml:space="preserve"> Київської міської ради від 29 жовтня 2009 року № 520/2589 «Про Порядок розроблення, затвердження та виконання міських цільових програм у місті Києві»</w:t>
      </w:r>
      <w:r w:rsidR="008E509B" w:rsidRPr="005F15AC">
        <w:rPr>
          <w:rFonts w:ascii="Times New Roman" w:eastAsia="Calibri" w:hAnsi="Times New Roman" w:cs="Times New Roman"/>
          <w:sz w:val="28"/>
          <w:szCs w:val="28"/>
          <w:shd w:val="clear" w:color="auto" w:fill="FFFFFF"/>
        </w:rPr>
        <w:t xml:space="preserve">, </w:t>
      </w:r>
      <w:r w:rsidR="008E509B" w:rsidRPr="005F15AC">
        <w:rPr>
          <w:rFonts w:ascii="Times New Roman" w:eastAsia="Calibri" w:hAnsi="Times New Roman" w:cs="Times New Roman"/>
          <w:sz w:val="28"/>
          <w:szCs w:val="28"/>
        </w:rPr>
        <w:t>від</w:t>
      </w:r>
      <w:r w:rsidR="00B91148" w:rsidRPr="005F15AC">
        <w:rPr>
          <w:rFonts w:ascii="Times New Roman" w:eastAsia="Calibri" w:hAnsi="Times New Roman" w:cs="Times New Roman"/>
          <w:sz w:val="28"/>
          <w:szCs w:val="28"/>
        </w:rPr>
        <w:t xml:space="preserve"> </w:t>
      </w:r>
      <w:r w:rsidR="008E509B" w:rsidRPr="005F15AC">
        <w:rPr>
          <w:rFonts w:ascii="Times New Roman" w:eastAsia="Calibri" w:hAnsi="Times New Roman" w:cs="Times New Roman"/>
          <w:sz w:val="28"/>
          <w:szCs w:val="28"/>
        </w:rPr>
        <w:t xml:space="preserve">15 грудня 2011 року № 824/7060 «Про затвердження </w:t>
      </w:r>
      <w:r w:rsidR="008E509B" w:rsidRPr="005F15AC">
        <w:rPr>
          <w:rFonts w:ascii="Times New Roman" w:eastAsia="Calibri" w:hAnsi="Times New Roman" w:cs="Times New Roman"/>
          <w:sz w:val="28"/>
          <w:szCs w:val="28"/>
          <w:shd w:val="clear" w:color="auto" w:fill="FFFFFF"/>
        </w:rPr>
        <w:t>Стратегії розвитку міста Києва до 2025 року».</w:t>
      </w:r>
    </w:p>
    <w:p w14:paraId="4E9D00E5" w14:textId="77777777" w:rsidR="008E509B" w:rsidRPr="005F15AC" w:rsidRDefault="008E509B" w:rsidP="008E509B">
      <w:pPr>
        <w:spacing w:after="0" w:line="240" w:lineRule="auto"/>
        <w:ind w:firstLine="567"/>
        <w:jc w:val="both"/>
        <w:rPr>
          <w:rFonts w:ascii="Times New Roman" w:eastAsia="Times New Roman" w:hAnsi="Times New Roman" w:cs="Times New Roman"/>
          <w:sz w:val="28"/>
          <w:szCs w:val="28"/>
          <w:lang w:eastAsia="ru-RU"/>
        </w:rPr>
      </w:pPr>
    </w:p>
    <w:p w14:paraId="546DE280" w14:textId="77777777" w:rsidR="002C5149" w:rsidRPr="005F15AC" w:rsidRDefault="002C5149" w:rsidP="002C5149">
      <w:pPr>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r w:rsidRPr="005F15AC">
        <w:rPr>
          <w:rFonts w:ascii="Times New Roman" w:eastAsia="Times New Roman" w:hAnsi="Times New Roman" w:cs="Times New Roman"/>
          <w:b/>
          <w:sz w:val="28"/>
          <w:szCs w:val="28"/>
          <w:lang w:eastAsia="uk-UA"/>
        </w:rPr>
        <w:t xml:space="preserve">3. </w:t>
      </w:r>
      <w:r w:rsidRPr="005F15AC">
        <w:rPr>
          <w:rFonts w:ascii="Times New Roman" w:eastAsia="Times New Roman" w:hAnsi="Times New Roman" w:cs="Times New Roman"/>
          <w:b/>
          <w:sz w:val="28"/>
          <w:szCs w:val="28"/>
          <w:lang w:eastAsia="ru-RU"/>
        </w:rPr>
        <w:t>Опис цілей і завдань, основних положень проєкту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w:t>
      </w:r>
    </w:p>
    <w:p w14:paraId="703FEA03" w14:textId="77777777" w:rsidR="001C6B41" w:rsidRPr="005F15AC" w:rsidRDefault="00F1469B" w:rsidP="001C6B41">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5F15AC">
        <w:rPr>
          <w:rFonts w:ascii="Times New Roman" w:eastAsia="Times New Roman" w:hAnsi="Times New Roman" w:cs="Times New Roman"/>
          <w:color w:val="000000" w:themeColor="text1"/>
          <w:sz w:val="28"/>
          <w:szCs w:val="28"/>
          <w:lang w:eastAsia="ru-RU"/>
        </w:rPr>
        <w:t>Проєкт</w:t>
      </w:r>
      <w:proofErr w:type="spellEnd"/>
      <w:r w:rsidRPr="005F15AC">
        <w:rPr>
          <w:rFonts w:ascii="Times New Roman" w:eastAsia="Times New Roman" w:hAnsi="Times New Roman" w:cs="Times New Roman"/>
          <w:color w:val="000000" w:themeColor="text1"/>
          <w:sz w:val="28"/>
          <w:szCs w:val="28"/>
          <w:lang w:eastAsia="ru-RU"/>
        </w:rPr>
        <w:t xml:space="preserve"> рішення підготовлено з метою </w:t>
      </w:r>
      <w:r w:rsidR="008E509B" w:rsidRPr="005F15AC">
        <w:rPr>
          <w:rFonts w:ascii="Times New Roman" w:eastAsia="Times New Roman" w:hAnsi="Times New Roman" w:cs="Times New Roman"/>
          <w:sz w:val="28"/>
          <w:szCs w:val="28"/>
          <w:lang w:eastAsia="ru-RU"/>
        </w:rPr>
        <w:t>впровадження сучасної транспортної політики на засадах сталої міської мобільності для безпечного, якісного та комфортного пересування мешканців і гостей м. Києва, пріоритетами якої є сталий розвиток громадського транспорту та простору для пересування пішоходів і немоторизованих транспортних засобів, підвищення ефективності управління транспортною системою міста з урахуванням потреб територіальної громади та сучасних європейських практик.</w:t>
      </w:r>
    </w:p>
    <w:p w14:paraId="453D768D" w14:textId="0DD3CC9D" w:rsidR="00843BD3" w:rsidRPr="005F15AC" w:rsidRDefault="00843BD3" w:rsidP="001C6B41">
      <w:pPr>
        <w:spacing w:after="0" w:line="240" w:lineRule="auto"/>
        <w:ind w:firstLine="567"/>
        <w:jc w:val="both"/>
        <w:rPr>
          <w:rFonts w:ascii="Times New Roman" w:eastAsia="Calibri" w:hAnsi="Times New Roman" w:cs="Times New Roman"/>
          <w:sz w:val="28"/>
          <w:szCs w:val="28"/>
          <w:shd w:val="clear" w:color="auto" w:fill="FFFFFF"/>
        </w:rPr>
      </w:pPr>
      <w:r w:rsidRPr="005F15AC">
        <w:rPr>
          <w:rFonts w:ascii="Times New Roman" w:eastAsia="Times New Roman" w:hAnsi="Times New Roman" w:cs="Times New Roman"/>
          <w:color w:val="000000"/>
          <w:sz w:val="28"/>
          <w:szCs w:val="28"/>
          <w:lang w:eastAsia="uk-UA"/>
        </w:rPr>
        <w:t xml:space="preserve">Контроль за виконанням цього рішення покладається на постійну комісію </w:t>
      </w:r>
      <w:r w:rsidRPr="005F15AC">
        <w:rPr>
          <w:rFonts w:ascii="Times New Roman" w:eastAsia="Calibri" w:hAnsi="Times New Roman" w:cs="Times New Roman"/>
          <w:sz w:val="28"/>
          <w:szCs w:val="28"/>
          <w:shd w:val="clear" w:color="auto" w:fill="FFFFFF"/>
        </w:rPr>
        <w:t>Київської міської ради з питань транспорту, зв'язку та реклами та на постійну комісію Київської міської ради з питань бюджету, соціально-економічного розвитку та інвестиційної діяльності.</w:t>
      </w:r>
    </w:p>
    <w:p w14:paraId="115D5FA8" w14:textId="462B617C" w:rsidR="00B91148" w:rsidRPr="005F15AC" w:rsidRDefault="00B91148" w:rsidP="001C6B41">
      <w:pPr>
        <w:spacing w:after="0" w:line="240" w:lineRule="auto"/>
        <w:ind w:firstLine="567"/>
        <w:jc w:val="both"/>
        <w:rPr>
          <w:rFonts w:ascii="Times New Roman" w:eastAsia="Calibri" w:hAnsi="Times New Roman" w:cs="Times New Roman"/>
          <w:sz w:val="28"/>
          <w:szCs w:val="28"/>
          <w:shd w:val="clear" w:color="auto" w:fill="FFFFFF"/>
        </w:rPr>
      </w:pPr>
    </w:p>
    <w:p w14:paraId="0947A765" w14:textId="4E158854" w:rsidR="00B91148" w:rsidRDefault="00B91148" w:rsidP="001C6B41">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5F15AC">
        <w:rPr>
          <w:rFonts w:ascii="Times New Roman" w:eastAsia="Times New Roman" w:hAnsi="Times New Roman" w:cs="Times New Roman"/>
          <w:b/>
          <w:color w:val="000000" w:themeColor="text1"/>
          <w:sz w:val="28"/>
          <w:szCs w:val="28"/>
          <w:lang w:eastAsia="ru-RU"/>
        </w:rPr>
        <w:t>4. Фінансово-економічне обґрунтування та пропозиції щодо джерел покриття цих витрат</w:t>
      </w:r>
    </w:p>
    <w:p w14:paraId="15230521" w14:textId="3853D3DF" w:rsidR="001A4D47" w:rsidRDefault="0060590A" w:rsidP="0060590A">
      <w:pPr>
        <w:spacing w:after="0" w:line="240" w:lineRule="auto"/>
        <w:ind w:firstLine="709"/>
        <w:contextualSpacing/>
        <w:jc w:val="both"/>
        <w:rPr>
          <w:rFonts w:ascii="Times New Roman" w:hAnsi="Times New Roman"/>
          <w:color w:val="202122"/>
          <w:sz w:val="28"/>
          <w:szCs w:val="28"/>
          <w:shd w:val="clear" w:color="auto" w:fill="FFFFFF"/>
        </w:rPr>
      </w:pPr>
      <w:r>
        <w:rPr>
          <w:rFonts w:ascii="Times New Roman" w:hAnsi="Times New Roman"/>
          <w:color w:val="202122"/>
          <w:sz w:val="28"/>
          <w:szCs w:val="28"/>
          <w:shd w:val="clear" w:color="auto" w:fill="FFFFFF"/>
        </w:rPr>
        <w:t>Ресурсе забезпечення реалізації</w:t>
      </w:r>
      <w:r w:rsidR="001A4D47" w:rsidRPr="004D1523">
        <w:rPr>
          <w:rFonts w:ascii="Times New Roman" w:hAnsi="Times New Roman"/>
          <w:color w:val="202122"/>
          <w:sz w:val="28"/>
          <w:szCs w:val="28"/>
          <w:shd w:val="clear" w:color="auto" w:fill="FFFFFF"/>
        </w:rPr>
        <w:t xml:space="preserve"> </w:t>
      </w:r>
      <w:r>
        <w:rPr>
          <w:rFonts w:ascii="Times New Roman" w:hAnsi="Times New Roman"/>
          <w:color w:val="202122"/>
          <w:sz w:val="28"/>
          <w:szCs w:val="28"/>
          <w:shd w:val="clear" w:color="auto" w:fill="FFFFFF"/>
        </w:rPr>
        <w:t>Програми</w:t>
      </w:r>
      <w:r w:rsidR="001A4D47" w:rsidRPr="004D1523">
        <w:rPr>
          <w:rFonts w:ascii="Times New Roman" w:hAnsi="Times New Roman"/>
          <w:color w:val="202122"/>
          <w:sz w:val="28"/>
          <w:szCs w:val="28"/>
          <w:shd w:val="clear" w:color="auto" w:fill="FFFFFF"/>
        </w:rPr>
        <w:t xml:space="preserve"> здійснюватиметься з бюджету міста Києва</w:t>
      </w:r>
      <w:r w:rsidR="001A4D47">
        <w:rPr>
          <w:rFonts w:ascii="Times New Roman" w:hAnsi="Times New Roman"/>
          <w:color w:val="202122"/>
          <w:sz w:val="28"/>
          <w:szCs w:val="28"/>
          <w:shd w:val="clear" w:color="auto" w:fill="FFFFFF"/>
        </w:rPr>
        <w:t xml:space="preserve"> та інших джерел</w:t>
      </w:r>
      <w:r w:rsidR="001A4D47" w:rsidRPr="004D1523">
        <w:rPr>
          <w:rFonts w:ascii="Times New Roman" w:hAnsi="Times New Roman"/>
          <w:color w:val="202122"/>
          <w:sz w:val="28"/>
          <w:szCs w:val="28"/>
          <w:shd w:val="clear" w:color="auto" w:fill="FFFFF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3964"/>
        <w:gridCol w:w="1843"/>
        <w:gridCol w:w="1843"/>
        <w:gridCol w:w="2148"/>
      </w:tblGrid>
      <w:tr w:rsidR="001A4D47" w:rsidRPr="00E40C05" w14:paraId="0BE2211F" w14:textId="77777777" w:rsidTr="007F386D">
        <w:trPr>
          <w:trHeight w:val="416"/>
          <w:tblHeader/>
        </w:trPr>
        <w:tc>
          <w:tcPr>
            <w:tcW w:w="3964" w:type="dxa"/>
            <w:vMerge w:val="restart"/>
            <w:shd w:val="clear" w:color="auto" w:fill="auto"/>
            <w:vAlign w:val="center"/>
          </w:tcPr>
          <w:p w14:paraId="4079FF45" w14:textId="77777777" w:rsidR="001A4D47" w:rsidRPr="00E40C05" w:rsidRDefault="001A4D47" w:rsidP="0060590A">
            <w:pPr>
              <w:spacing w:after="0" w:line="240" w:lineRule="auto"/>
              <w:contextualSpacing/>
              <w:jc w:val="center"/>
              <w:rPr>
                <w:rFonts w:ascii="Times New Roman" w:eastAsia="Times New Roman" w:hAnsi="Times New Roman"/>
                <w:b/>
                <w:sz w:val="26"/>
                <w:szCs w:val="26"/>
                <w:lang w:eastAsia="ru-RU"/>
              </w:rPr>
            </w:pPr>
            <w:bookmarkStart w:id="2" w:name="_Hlk145684687"/>
            <w:r w:rsidRPr="00E40C05">
              <w:rPr>
                <w:rFonts w:ascii="Times New Roman" w:eastAsia="Times New Roman" w:hAnsi="Times New Roman"/>
                <w:b/>
                <w:sz w:val="26"/>
                <w:szCs w:val="26"/>
                <w:lang w:eastAsia="ru-RU"/>
              </w:rPr>
              <w:t>Обсяг фінансових ресурсів, необхідних для реалізації Програми</w:t>
            </w:r>
          </w:p>
        </w:tc>
        <w:tc>
          <w:tcPr>
            <w:tcW w:w="1843" w:type="dxa"/>
            <w:vMerge w:val="restart"/>
            <w:shd w:val="clear" w:color="auto" w:fill="auto"/>
            <w:vAlign w:val="center"/>
          </w:tcPr>
          <w:p w14:paraId="2342C991" w14:textId="77777777" w:rsidR="001A4D47" w:rsidRPr="00E40C05" w:rsidRDefault="001A4D47" w:rsidP="0060590A">
            <w:pPr>
              <w:spacing w:after="0" w:line="240" w:lineRule="auto"/>
              <w:contextualSpacing/>
              <w:jc w:val="center"/>
              <w:rPr>
                <w:rFonts w:ascii="Times New Roman" w:eastAsia="Times New Roman" w:hAnsi="Times New Roman"/>
                <w:b/>
                <w:sz w:val="26"/>
                <w:szCs w:val="26"/>
                <w:lang w:eastAsia="ru-RU"/>
              </w:rPr>
            </w:pPr>
            <w:r w:rsidRPr="00E40C05">
              <w:rPr>
                <w:rFonts w:ascii="Times New Roman" w:eastAsia="Times New Roman" w:hAnsi="Times New Roman"/>
                <w:b/>
                <w:sz w:val="26"/>
                <w:szCs w:val="26"/>
                <w:lang w:eastAsia="ru-RU"/>
              </w:rPr>
              <w:t>Всього</w:t>
            </w:r>
          </w:p>
        </w:tc>
        <w:tc>
          <w:tcPr>
            <w:tcW w:w="3991" w:type="dxa"/>
            <w:gridSpan w:val="2"/>
            <w:shd w:val="clear" w:color="auto" w:fill="auto"/>
            <w:vAlign w:val="center"/>
          </w:tcPr>
          <w:p w14:paraId="543B8ECD" w14:textId="77777777" w:rsidR="001A4D47" w:rsidRPr="00E40C05" w:rsidRDefault="001A4D47" w:rsidP="0060590A">
            <w:pPr>
              <w:spacing w:after="0" w:line="240" w:lineRule="auto"/>
              <w:contextualSpacing/>
              <w:jc w:val="center"/>
              <w:rPr>
                <w:rFonts w:ascii="Times New Roman" w:eastAsia="Times New Roman" w:hAnsi="Times New Roman"/>
                <w:b/>
                <w:sz w:val="26"/>
                <w:szCs w:val="26"/>
                <w:lang w:eastAsia="ru-RU"/>
              </w:rPr>
            </w:pPr>
            <w:r w:rsidRPr="00E40C05">
              <w:rPr>
                <w:rFonts w:ascii="Times New Roman" w:eastAsia="Times New Roman" w:hAnsi="Times New Roman"/>
                <w:b/>
                <w:sz w:val="26"/>
                <w:szCs w:val="26"/>
                <w:lang w:eastAsia="ru-RU"/>
              </w:rPr>
              <w:t>у тому числі за роками</w:t>
            </w:r>
          </w:p>
        </w:tc>
      </w:tr>
      <w:tr w:rsidR="001A4D47" w:rsidRPr="00E40C05" w14:paraId="71A639E2" w14:textId="77777777" w:rsidTr="007F386D">
        <w:trPr>
          <w:trHeight w:val="182"/>
          <w:tblHeader/>
        </w:trPr>
        <w:tc>
          <w:tcPr>
            <w:tcW w:w="3964" w:type="dxa"/>
            <w:vMerge/>
            <w:shd w:val="clear" w:color="auto" w:fill="auto"/>
            <w:vAlign w:val="center"/>
          </w:tcPr>
          <w:p w14:paraId="7D1D6325" w14:textId="77777777" w:rsidR="001A4D47" w:rsidRPr="00E40C05" w:rsidRDefault="001A4D47" w:rsidP="0060590A">
            <w:pPr>
              <w:spacing w:after="0" w:line="240" w:lineRule="auto"/>
              <w:contextualSpacing/>
              <w:jc w:val="center"/>
              <w:rPr>
                <w:rFonts w:ascii="Times New Roman" w:eastAsia="Times New Roman" w:hAnsi="Times New Roman"/>
                <w:b/>
                <w:sz w:val="26"/>
                <w:szCs w:val="26"/>
                <w:lang w:eastAsia="ru-RU"/>
              </w:rPr>
            </w:pPr>
          </w:p>
        </w:tc>
        <w:tc>
          <w:tcPr>
            <w:tcW w:w="1843" w:type="dxa"/>
            <w:vMerge/>
            <w:shd w:val="clear" w:color="auto" w:fill="auto"/>
            <w:vAlign w:val="center"/>
          </w:tcPr>
          <w:p w14:paraId="6B718E2E" w14:textId="77777777" w:rsidR="001A4D47" w:rsidRPr="00E40C05" w:rsidRDefault="001A4D47" w:rsidP="0060590A">
            <w:pPr>
              <w:spacing w:after="0" w:line="240" w:lineRule="auto"/>
              <w:contextualSpacing/>
              <w:jc w:val="center"/>
              <w:rPr>
                <w:rFonts w:ascii="Times New Roman" w:eastAsia="Times New Roman" w:hAnsi="Times New Roman"/>
                <w:b/>
                <w:sz w:val="26"/>
                <w:szCs w:val="26"/>
                <w:lang w:eastAsia="ru-RU"/>
              </w:rPr>
            </w:pPr>
          </w:p>
        </w:tc>
        <w:tc>
          <w:tcPr>
            <w:tcW w:w="1843" w:type="dxa"/>
            <w:shd w:val="clear" w:color="auto" w:fill="auto"/>
            <w:vAlign w:val="center"/>
          </w:tcPr>
          <w:p w14:paraId="7E6871C5" w14:textId="77777777" w:rsidR="001A4D47" w:rsidRPr="00E40C05" w:rsidRDefault="001A4D47" w:rsidP="0060590A">
            <w:pPr>
              <w:spacing w:after="0" w:line="240" w:lineRule="auto"/>
              <w:contextualSpacing/>
              <w:jc w:val="center"/>
              <w:rPr>
                <w:rFonts w:ascii="Times New Roman" w:eastAsia="Times New Roman" w:hAnsi="Times New Roman"/>
                <w:b/>
                <w:sz w:val="26"/>
                <w:szCs w:val="26"/>
                <w:lang w:eastAsia="ru-RU"/>
              </w:rPr>
            </w:pPr>
            <w:r w:rsidRPr="00E40C05">
              <w:rPr>
                <w:rFonts w:ascii="Times New Roman" w:eastAsia="Times New Roman" w:hAnsi="Times New Roman"/>
                <w:b/>
                <w:sz w:val="26"/>
                <w:szCs w:val="26"/>
                <w:lang w:eastAsia="ru-RU"/>
              </w:rPr>
              <w:t>2024 рік</w:t>
            </w:r>
          </w:p>
        </w:tc>
        <w:tc>
          <w:tcPr>
            <w:tcW w:w="2148" w:type="dxa"/>
            <w:shd w:val="clear" w:color="auto" w:fill="auto"/>
            <w:vAlign w:val="center"/>
          </w:tcPr>
          <w:p w14:paraId="07E18489" w14:textId="77777777" w:rsidR="001A4D47" w:rsidRPr="00E40C05" w:rsidRDefault="001A4D47" w:rsidP="0060590A">
            <w:pPr>
              <w:spacing w:after="0" w:line="240" w:lineRule="auto"/>
              <w:contextualSpacing/>
              <w:jc w:val="center"/>
              <w:rPr>
                <w:rFonts w:ascii="Times New Roman" w:eastAsia="Times New Roman" w:hAnsi="Times New Roman"/>
                <w:b/>
                <w:sz w:val="26"/>
                <w:szCs w:val="26"/>
                <w:lang w:eastAsia="ru-RU"/>
              </w:rPr>
            </w:pPr>
            <w:r w:rsidRPr="00E40C05">
              <w:rPr>
                <w:rFonts w:ascii="Times New Roman" w:eastAsia="Times New Roman" w:hAnsi="Times New Roman"/>
                <w:b/>
                <w:sz w:val="26"/>
                <w:szCs w:val="26"/>
                <w:lang w:eastAsia="ru-RU"/>
              </w:rPr>
              <w:t>2025 рік</w:t>
            </w:r>
          </w:p>
        </w:tc>
      </w:tr>
      <w:tr w:rsidR="001A4D47" w:rsidRPr="00E40C05" w14:paraId="50AE6B55" w14:textId="77777777" w:rsidTr="007F386D">
        <w:tblPrEx>
          <w:tblCellMar>
            <w:left w:w="108" w:type="dxa"/>
            <w:right w:w="108" w:type="dxa"/>
          </w:tblCellMar>
        </w:tblPrEx>
        <w:trPr>
          <w:trHeight w:val="708"/>
        </w:trPr>
        <w:tc>
          <w:tcPr>
            <w:tcW w:w="3964" w:type="dxa"/>
            <w:shd w:val="clear" w:color="auto" w:fill="auto"/>
            <w:vAlign w:val="center"/>
          </w:tcPr>
          <w:p w14:paraId="11078333" w14:textId="77777777" w:rsidR="001A4D47" w:rsidRPr="00E40C05" w:rsidRDefault="001A4D47" w:rsidP="0060590A">
            <w:pPr>
              <w:spacing w:after="0" w:line="240" w:lineRule="auto"/>
              <w:contextualSpacing/>
              <w:jc w:val="both"/>
              <w:rPr>
                <w:rFonts w:ascii="Times New Roman" w:eastAsia="Times New Roman" w:hAnsi="Times New Roman"/>
                <w:sz w:val="26"/>
                <w:szCs w:val="26"/>
                <w:lang w:eastAsia="ru-RU"/>
              </w:rPr>
            </w:pPr>
            <w:r w:rsidRPr="00E40C05">
              <w:rPr>
                <w:rFonts w:ascii="Times New Roman" w:eastAsia="Times New Roman" w:hAnsi="Times New Roman"/>
                <w:sz w:val="26"/>
                <w:szCs w:val="26"/>
                <w:lang w:eastAsia="ru-RU"/>
              </w:rPr>
              <w:t>Всього,</w:t>
            </w:r>
          </w:p>
          <w:p w14:paraId="6840E4D0" w14:textId="77777777" w:rsidR="001A4D47" w:rsidRPr="00E40C05" w:rsidRDefault="001A4D47" w:rsidP="0060590A">
            <w:pPr>
              <w:spacing w:after="0" w:line="240" w:lineRule="auto"/>
              <w:contextualSpacing/>
              <w:jc w:val="both"/>
              <w:rPr>
                <w:rFonts w:ascii="Times New Roman" w:eastAsia="Times New Roman" w:hAnsi="Times New Roman"/>
                <w:bCs/>
                <w:sz w:val="26"/>
                <w:szCs w:val="26"/>
                <w:lang w:eastAsia="ru-RU"/>
              </w:rPr>
            </w:pPr>
            <w:r w:rsidRPr="00E40C05">
              <w:rPr>
                <w:rFonts w:ascii="Times New Roman" w:eastAsia="Times New Roman" w:hAnsi="Times New Roman"/>
                <w:sz w:val="26"/>
                <w:szCs w:val="26"/>
                <w:lang w:eastAsia="ru-RU"/>
              </w:rPr>
              <w:t>у тому числі за джерелами:</w:t>
            </w:r>
          </w:p>
        </w:tc>
        <w:tc>
          <w:tcPr>
            <w:tcW w:w="1843" w:type="dxa"/>
            <w:shd w:val="clear" w:color="auto" w:fill="auto"/>
            <w:vAlign w:val="center"/>
          </w:tcPr>
          <w:p w14:paraId="1C96DCA0"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val="ru-RU" w:eastAsia="ru-RU"/>
              </w:rPr>
            </w:pPr>
            <w:r w:rsidRPr="00E40C05">
              <w:rPr>
                <w:rFonts w:ascii="Times New Roman" w:eastAsia="Times New Roman" w:hAnsi="Times New Roman"/>
                <w:bCs/>
                <w:sz w:val="26"/>
                <w:szCs w:val="26"/>
                <w:lang w:eastAsia="ru-RU"/>
              </w:rPr>
              <w:t>34</w:t>
            </w:r>
            <w:r>
              <w:rPr>
                <w:rFonts w:ascii="Times New Roman" w:eastAsia="Times New Roman" w:hAnsi="Times New Roman"/>
                <w:bCs/>
                <w:sz w:val="26"/>
                <w:szCs w:val="26"/>
                <w:lang w:eastAsia="ru-RU"/>
              </w:rPr>
              <w:t> </w:t>
            </w:r>
            <w:r w:rsidRPr="00E40C05">
              <w:rPr>
                <w:rFonts w:ascii="Times New Roman" w:eastAsia="Times New Roman" w:hAnsi="Times New Roman"/>
                <w:bCs/>
                <w:sz w:val="26"/>
                <w:szCs w:val="26"/>
                <w:lang w:eastAsia="ru-RU"/>
              </w:rPr>
              <w:t>78</w:t>
            </w:r>
            <w:r>
              <w:rPr>
                <w:rFonts w:ascii="Times New Roman" w:eastAsia="Times New Roman" w:hAnsi="Times New Roman"/>
                <w:bCs/>
                <w:sz w:val="26"/>
                <w:szCs w:val="26"/>
                <w:lang w:eastAsia="ru-RU"/>
              </w:rPr>
              <w:t>3 627</w:t>
            </w:r>
            <w:r w:rsidRPr="00E40C05">
              <w:rPr>
                <w:rFonts w:ascii="Times New Roman" w:eastAsia="Times New Roman" w:hAnsi="Times New Roman"/>
                <w:bCs/>
                <w:sz w:val="26"/>
                <w:szCs w:val="26"/>
                <w:lang w:eastAsia="ru-RU"/>
              </w:rPr>
              <w:t>,56</w:t>
            </w:r>
          </w:p>
        </w:tc>
        <w:tc>
          <w:tcPr>
            <w:tcW w:w="1843" w:type="dxa"/>
            <w:shd w:val="clear" w:color="auto" w:fill="auto"/>
            <w:vAlign w:val="center"/>
          </w:tcPr>
          <w:p w14:paraId="629AB087"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14 9</w:t>
            </w:r>
            <w:r>
              <w:rPr>
                <w:rFonts w:ascii="Times New Roman" w:eastAsia="Times New Roman" w:hAnsi="Times New Roman"/>
                <w:bCs/>
                <w:sz w:val="26"/>
                <w:szCs w:val="26"/>
                <w:lang w:eastAsia="ru-RU"/>
              </w:rPr>
              <w:t>53</w:t>
            </w:r>
            <w:r w:rsidRPr="00E40C05">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853</w:t>
            </w:r>
            <w:r w:rsidRPr="00E40C05">
              <w:rPr>
                <w:rFonts w:ascii="Times New Roman" w:eastAsia="Times New Roman" w:hAnsi="Times New Roman"/>
                <w:bCs/>
                <w:sz w:val="26"/>
                <w:szCs w:val="26"/>
                <w:lang w:eastAsia="ru-RU"/>
              </w:rPr>
              <w:t>,04</w:t>
            </w:r>
          </w:p>
        </w:tc>
        <w:tc>
          <w:tcPr>
            <w:tcW w:w="2148" w:type="dxa"/>
            <w:shd w:val="clear" w:color="auto" w:fill="auto"/>
            <w:vAlign w:val="center"/>
          </w:tcPr>
          <w:p w14:paraId="6373130B"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19 82</w:t>
            </w:r>
            <w:r>
              <w:rPr>
                <w:rFonts w:ascii="Times New Roman" w:eastAsia="Times New Roman" w:hAnsi="Times New Roman"/>
                <w:bCs/>
                <w:sz w:val="26"/>
                <w:szCs w:val="26"/>
                <w:lang w:eastAsia="ru-RU"/>
              </w:rPr>
              <w:t>9</w:t>
            </w:r>
            <w:r w:rsidRPr="00E40C05">
              <w:rPr>
                <w:rFonts w:ascii="Times New Roman" w:eastAsia="Times New Roman" w:hAnsi="Times New Roman"/>
                <w:bCs/>
                <w:sz w:val="26"/>
                <w:szCs w:val="26"/>
                <w:lang w:eastAsia="ru-RU"/>
              </w:rPr>
              <w:t xml:space="preserve"> 774,52</w:t>
            </w:r>
          </w:p>
        </w:tc>
      </w:tr>
      <w:tr w:rsidR="001A4D47" w:rsidRPr="00E40C05" w14:paraId="55C1FF82" w14:textId="77777777" w:rsidTr="007F386D">
        <w:tblPrEx>
          <w:tblCellMar>
            <w:left w:w="108" w:type="dxa"/>
            <w:right w:w="108" w:type="dxa"/>
          </w:tblCellMar>
        </w:tblPrEx>
        <w:tc>
          <w:tcPr>
            <w:tcW w:w="3964" w:type="dxa"/>
            <w:tcBorders>
              <w:top w:val="single" w:sz="4" w:space="0" w:color="auto"/>
              <w:left w:val="single" w:sz="4" w:space="0" w:color="auto"/>
              <w:bottom w:val="single" w:sz="4" w:space="0" w:color="auto"/>
              <w:right w:val="single" w:sz="4" w:space="0" w:color="auto"/>
            </w:tcBorders>
            <w:shd w:val="clear" w:color="auto" w:fill="auto"/>
          </w:tcPr>
          <w:p w14:paraId="4E5869A7" w14:textId="77777777" w:rsidR="001A4D47" w:rsidRPr="00E40C05" w:rsidRDefault="001A4D47" w:rsidP="0060590A">
            <w:pPr>
              <w:spacing w:after="0" w:line="240" w:lineRule="auto"/>
              <w:contextualSpacing/>
              <w:jc w:val="both"/>
              <w:rPr>
                <w:rFonts w:ascii="Times New Roman" w:eastAsia="Times New Roman" w:hAnsi="Times New Roman"/>
                <w:sz w:val="26"/>
                <w:szCs w:val="26"/>
                <w:lang w:eastAsia="ru-RU"/>
              </w:rPr>
            </w:pPr>
            <w:r w:rsidRPr="00E40C05">
              <w:rPr>
                <w:rFonts w:ascii="Times New Roman" w:eastAsia="Times New Roman" w:hAnsi="Times New Roman"/>
                <w:sz w:val="26"/>
                <w:szCs w:val="26"/>
                <w:lang w:eastAsia="ru-RU"/>
              </w:rPr>
              <w:t>державний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DA1A57"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800 000,00</w:t>
            </w:r>
          </w:p>
        </w:tc>
        <w:tc>
          <w:tcPr>
            <w:tcW w:w="1843" w:type="dxa"/>
            <w:shd w:val="clear" w:color="auto" w:fill="auto"/>
            <w:vAlign w:val="center"/>
          </w:tcPr>
          <w:p w14:paraId="3A3139F2"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0,00</w:t>
            </w:r>
          </w:p>
        </w:tc>
        <w:tc>
          <w:tcPr>
            <w:tcW w:w="2148" w:type="dxa"/>
            <w:shd w:val="clear" w:color="auto" w:fill="auto"/>
            <w:vAlign w:val="center"/>
          </w:tcPr>
          <w:p w14:paraId="0D88D78D"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800 000,00</w:t>
            </w:r>
          </w:p>
        </w:tc>
      </w:tr>
      <w:tr w:rsidR="001A4D47" w:rsidRPr="00E40C05" w14:paraId="38E176FB" w14:textId="77777777" w:rsidTr="007F386D">
        <w:tblPrEx>
          <w:tblCellMar>
            <w:left w:w="108" w:type="dxa"/>
            <w:right w:w="108" w:type="dxa"/>
          </w:tblCellMar>
        </w:tblPrEx>
        <w:tc>
          <w:tcPr>
            <w:tcW w:w="3964" w:type="dxa"/>
            <w:tcBorders>
              <w:top w:val="single" w:sz="4" w:space="0" w:color="auto"/>
              <w:left w:val="single" w:sz="4" w:space="0" w:color="auto"/>
              <w:bottom w:val="single" w:sz="4" w:space="0" w:color="auto"/>
              <w:right w:val="single" w:sz="4" w:space="0" w:color="auto"/>
            </w:tcBorders>
            <w:shd w:val="clear" w:color="auto" w:fill="auto"/>
          </w:tcPr>
          <w:p w14:paraId="0E73FC6A" w14:textId="77777777" w:rsidR="001A4D47" w:rsidRPr="00E40C05" w:rsidRDefault="001A4D47" w:rsidP="0060590A">
            <w:pPr>
              <w:spacing w:after="0" w:line="240" w:lineRule="auto"/>
              <w:contextualSpacing/>
              <w:jc w:val="both"/>
              <w:rPr>
                <w:rFonts w:ascii="Times New Roman" w:eastAsia="Times New Roman" w:hAnsi="Times New Roman"/>
                <w:sz w:val="26"/>
                <w:szCs w:val="26"/>
                <w:lang w:eastAsia="ru-RU"/>
              </w:rPr>
            </w:pPr>
            <w:r w:rsidRPr="00E40C05">
              <w:rPr>
                <w:rFonts w:ascii="Times New Roman" w:eastAsia="Times New Roman" w:hAnsi="Times New Roman"/>
                <w:sz w:val="26"/>
                <w:szCs w:val="26"/>
                <w:lang w:eastAsia="ru-RU"/>
              </w:rPr>
              <w:t>бюджет міста Києва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A72E5A"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19 88</w:t>
            </w:r>
            <w:r>
              <w:rPr>
                <w:rFonts w:ascii="Times New Roman" w:eastAsia="Times New Roman" w:hAnsi="Times New Roman"/>
                <w:bCs/>
                <w:sz w:val="26"/>
                <w:szCs w:val="26"/>
                <w:lang w:eastAsia="ru-RU"/>
              </w:rPr>
              <w:t>0</w:t>
            </w:r>
            <w:r w:rsidRPr="00E40C05">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878</w:t>
            </w:r>
            <w:r w:rsidRPr="00E40C05">
              <w:rPr>
                <w:rFonts w:ascii="Times New Roman" w:eastAsia="Times New Roman" w:hAnsi="Times New Roman"/>
                <w:bCs/>
                <w:sz w:val="26"/>
                <w:szCs w:val="26"/>
                <w:lang w:eastAsia="ru-RU"/>
              </w:rPr>
              <w:t>,86</w:t>
            </w:r>
          </w:p>
        </w:tc>
        <w:tc>
          <w:tcPr>
            <w:tcW w:w="1843" w:type="dxa"/>
            <w:shd w:val="clear" w:color="auto" w:fill="auto"/>
            <w:vAlign w:val="center"/>
          </w:tcPr>
          <w:p w14:paraId="32A9DCE2" w14:textId="77777777" w:rsidR="001A4D47" w:rsidRPr="00617C00"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8</w:t>
            </w:r>
            <w:r>
              <w:rPr>
                <w:rFonts w:ascii="Times New Roman" w:eastAsia="Times New Roman" w:hAnsi="Times New Roman"/>
                <w:bCs/>
                <w:sz w:val="26"/>
                <w:szCs w:val="26"/>
                <w:lang w:eastAsia="ru-RU"/>
              </w:rPr>
              <w:t> 960 547,04</w:t>
            </w:r>
          </w:p>
        </w:tc>
        <w:tc>
          <w:tcPr>
            <w:tcW w:w="2148" w:type="dxa"/>
            <w:shd w:val="clear" w:color="auto" w:fill="auto"/>
            <w:vAlign w:val="center"/>
          </w:tcPr>
          <w:p w14:paraId="398B87B1"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10 9</w:t>
            </w:r>
            <w:r>
              <w:rPr>
                <w:rFonts w:ascii="Times New Roman" w:eastAsia="Times New Roman" w:hAnsi="Times New Roman"/>
                <w:bCs/>
                <w:sz w:val="26"/>
                <w:szCs w:val="26"/>
                <w:lang w:eastAsia="ru-RU"/>
              </w:rPr>
              <w:t>20</w:t>
            </w:r>
            <w:r w:rsidRPr="00E40C05">
              <w:rPr>
                <w:rFonts w:ascii="Times New Roman" w:eastAsia="Times New Roman" w:hAnsi="Times New Roman"/>
                <w:bCs/>
                <w:sz w:val="26"/>
                <w:szCs w:val="26"/>
                <w:lang w:eastAsia="ru-RU"/>
              </w:rPr>
              <w:t xml:space="preserve"> 331,82</w:t>
            </w:r>
          </w:p>
        </w:tc>
      </w:tr>
      <w:tr w:rsidR="001A4D47" w:rsidRPr="00E40C05" w14:paraId="364FE08D" w14:textId="77777777" w:rsidTr="007F386D">
        <w:tblPrEx>
          <w:tblCellMar>
            <w:left w:w="108" w:type="dxa"/>
            <w:right w:w="108" w:type="dxa"/>
          </w:tblCellMar>
        </w:tblPrEx>
        <w:tc>
          <w:tcPr>
            <w:tcW w:w="3964" w:type="dxa"/>
            <w:tcBorders>
              <w:top w:val="single" w:sz="4" w:space="0" w:color="auto"/>
              <w:left w:val="single" w:sz="4" w:space="0" w:color="auto"/>
              <w:bottom w:val="single" w:sz="4" w:space="0" w:color="auto"/>
              <w:right w:val="single" w:sz="4" w:space="0" w:color="auto"/>
            </w:tcBorders>
            <w:shd w:val="clear" w:color="auto" w:fill="auto"/>
          </w:tcPr>
          <w:p w14:paraId="3C9E4151" w14:textId="77777777" w:rsidR="001A4D47" w:rsidRPr="00E40C05" w:rsidRDefault="001A4D47" w:rsidP="0060590A">
            <w:pPr>
              <w:spacing w:after="0" w:line="240" w:lineRule="auto"/>
              <w:contextualSpacing/>
              <w:jc w:val="both"/>
              <w:rPr>
                <w:rFonts w:ascii="Times New Roman" w:eastAsia="Times New Roman" w:hAnsi="Times New Roman"/>
                <w:sz w:val="26"/>
                <w:szCs w:val="26"/>
                <w:lang w:eastAsia="ru-RU"/>
              </w:rPr>
            </w:pPr>
            <w:r w:rsidRPr="00E40C05">
              <w:rPr>
                <w:rFonts w:ascii="Times New Roman" w:eastAsia="Times New Roman" w:hAnsi="Times New Roman"/>
                <w:sz w:val="26"/>
                <w:szCs w:val="26"/>
                <w:lang w:eastAsia="ru-RU"/>
              </w:rPr>
              <w:t>інші джерела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3C9ADE"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14 102 748,70</w:t>
            </w:r>
          </w:p>
        </w:tc>
        <w:tc>
          <w:tcPr>
            <w:tcW w:w="1843" w:type="dxa"/>
            <w:tcBorders>
              <w:left w:val="single" w:sz="4" w:space="0" w:color="auto"/>
              <w:bottom w:val="single" w:sz="4" w:space="0" w:color="auto"/>
              <w:right w:val="single" w:sz="4" w:space="0" w:color="auto"/>
            </w:tcBorders>
            <w:shd w:val="clear" w:color="auto" w:fill="auto"/>
            <w:vAlign w:val="center"/>
          </w:tcPr>
          <w:p w14:paraId="160DF358"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5 993 306,00</w:t>
            </w:r>
          </w:p>
        </w:tc>
        <w:tc>
          <w:tcPr>
            <w:tcW w:w="2148" w:type="dxa"/>
            <w:tcBorders>
              <w:left w:val="single" w:sz="4" w:space="0" w:color="auto"/>
              <w:bottom w:val="single" w:sz="4" w:space="0" w:color="auto"/>
              <w:right w:val="single" w:sz="4" w:space="0" w:color="auto"/>
            </w:tcBorders>
            <w:shd w:val="clear" w:color="auto" w:fill="auto"/>
          </w:tcPr>
          <w:p w14:paraId="303D2F64" w14:textId="77777777" w:rsidR="001A4D47" w:rsidRPr="00E40C05" w:rsidRDefault="001A4D47" w:rsidP="0060590A">
            <w:pPr>
              <w:spacing w:after="0" w:line="240" w:lineRule="auto"/>
              <w:contextualSpacing/>
              <w:jc w:val="center"/>
              <w:rPr>
                <w:rFonts w:ascii="Times New Roman" w:eastAsia="Times New Roman" w:hAnsi="Times New Roman"/>
                <w:bCs/>
                <w:sz w:val="26"/>
                <w:szCs w:val="26"/>
                <w:lang w:eastAsia="ru-RU"/>
              </w:rPr>
            </w:pPr>
            <w:r w:rsidRPr="00E40C05">
              <w:rPr>
                <w:rFonts w:ascii="Times New Roman" w:eastAsia="Times New Roman" w:hAnsi="Times New Roman"/>
                <w:bCs/>
                <w:sz w:val="26"/>
                <w:szCs w:val="26"/>
                <w:lang w:eastAsia="ru-RU"/>
              </w:rPr>
              <w:t>8 109 442,70</w:t>
            </w:r>
          </w:p>
        </w:tc>
      </w:tr>
      <w:bookmarkEnd w:id="2"/>
    </w:tbl>
    <w:p w14:paraId="1171C3B6" w14:textId="360A53CC" w:rsidR="002C5149" w:rsidRPr="005F15AC" w:rsidRDefault="002C5149" w:rsidP="00BE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eastAsia="ru-RU"/>
        </w:rPr>
      </w:pPr>
    </w:p>
    <w:p w14:paraId="22837B3A" w14:textId="6D37CEC8" w:rsidR="00B92EB9" w:rsidRPr="005F15AC" w:rsidRDefault="00B91148" w:rsidP="00B9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8"/>
          <w:szCs w:val="28"/>
          <w:lang w:eastAsia="ru-RU"/>
        </w:rPr>
      </w:pPr>
      <w:r w:rsidRPr="005F15AC">
        <w:rPr>
          <w:rFonts w:ascii="Times New Roman" w:eastAsia="Times New Roman" w:hAnsi="Times New Roman" w:cs="Times New Roman"/>
          <w:b/>
          <w:sz w:val="28"/>
          <w:szCs w:val="28"/>
          <w:lang w:eastAsia="ru-RU"/>
        </w:rPr>
        <w:t>5</w:t>
      </w:r>
      <w:r w:rsidR="00B92EB9" w:rsidRPr="005F15AC">
        <w:rPr>
          <w:rFonts w:ascii="Times New Roman" w:eastAsia="Times New Roman" w:hAnsi="Times New Roman" w:cs="Times New Roman"/>
          <w:b/>
          <w:sz w:val="28"/>
          <w:szCs w:val="28"/>
          <w:lang w:eastAsia="ru-RU"/>
        </w:rPr>
        <w:t xml:space="preserve">. Інформація про те, чи стосується </w:t>
      </w:r>
      <w:proofErr w:type="spellStart"/>
      <w:r w:rsidR="00B92EB9" w:rsidRPr="005F15AC">
        <w:rPr>
          <w:rFonts w:ascii="Times New Roman" w:eastAsia="Times New Roman" w:hAnsi="Times New Roman" w:cs="Times New Roman"/>
          <w:b/>
          <w:sz w:val="28"/>
          <w:szCs w:val="28"/>
          <w:lang w:eastAsia="ru-RU"/>
        </w:rPr>
        <w:t>проєкт</w:t>
      </w:r>
      <w:proofErr w:type="spellEnd"/>
      <w:r w:rsidR="00B92EB9" w:rsidRPr="005F15AC">
        <w:rPr>
          <w:rFonts w:ascii="Times New Roman" w:eastAsia="Times New Roman" w:hAnsi="Times New Roman" w:cs="Times New Roman"/>
          <w:b/>
          <w:sz w:val="28"/>
          <w:szCs w:val="28"/>
          <w:lang w:eastAsia="ru-RU"/>
        </w:rPr>
        <w:t xml:space="preserve"> рішення прав і соціальної захищеності осіб з інвалідністю та який вплив він матиме на життєдіяльність цієї категорії</w:t>
      </w:r>
    </w:p>
    <w:p w14:paraId="7B8144E3" w14:textId="6D87C084" w:rsidR="005F15AC" w:rsidRDefault="005F15AC" w:rsidP="00B9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highlight w:val="yellow"/>
          <w:lang w:eastAsia="ru-RU"/>
        </w:rPr>
      </w:pPr>
      <w:proofErr w:type="spellStart"/>
      <w:r>
        <w:rPr>
          <w:rFonts w:ascii="Times New Roman" w:eastAsia="Times New Roman" w:hAnsi="Times New Roman" w:cs="Times New Roman"/>
          <w:sz w:val="28"/>
          <w:szCs w:val="28"/>
          <w:lang w:eastAsia="ru-RU"/>
        </w:rPr>
        <w:t>Проєктом</w:t>
      </w:r>
      <w:proofErr w:type="spellEnd"/>
      <w:r>
        <w:rPr>
          <w:rFonts w:ascii="Times New Roman" w:eastAsia="Times New Roman" w:hAnsi="Times New Roman" w:cs="Times New Roman"/>
          <w:sz w:val="28"/>
          <w:szCs w:val="28"/>
          <w:lang w:eastAsia="ru-RU"/>
        </w:rPr>
        <w:t xml:space="preserve"> рішення передбачається реалізація</w:t>
      </w:r>
      <w:r w:rsidRPr="005F15AC">
        <w:rPr>
          <w:rFonts w:ascii="Times New Roman" w:eastAsia="Times New Roman" w:hAnsi="Times New Roman" w:cs="Times New Roman"/>
          <w:sz w:val="28"/>
          <w:szCs w:val="28"/>
          <w:lang w:eastAsia="ru-RU"/>
        </w:rPr>
        <w:t xml:space="preserve"> заходів, які спрямовані</w:t>
      </w:r>
      <w:r>
        <w:rPr>
          <w:rFonts w:ascii="Times New Roman" w:eastAsia="Times New Roman" w:hAnsi="Times New Roman" w:cs="Times New Roman"/>
          <w:sz w:val="28"/>
          <w:szCs w:val="28"/>
          <w:lang w:eastAsia="ru-RU"/>
        </w:rPr>
        <w:t xml:space="preserve"> на забезпечення </w:t>
      </w:r>
      <w:proofErr w:type="spellStart"/>
      <w:r>
        <w:rPr>
          <w:rFonts w:ascii="Times New Roman" w:eastAsia="Times New Roman" w:hAnsi="Times New Roman" w:cs="Times New Roman"/>
          <w:sz w:val="28"/>
          <w:szCs w:val="28"/>
          <w:lang w:eastAsia="ru-RU"/>
        </w:rPr>
        <w:t>безбар’єрності</w:t>
      </w:r>
      <w:proofErr w:type="spellEnd"/>
      <w:r>
        <w:rPr>
          <w:rFonts w:ascii="Times New Roman" w:eastAsia="Times New Roman" w:hAnsi="Times New Roman" w:cs="Times New Roman"/>
          <w:sz w:val="28"/>
          <w:szCs w:val="28"/>
          <w:lang w:eastAsia="ru-RU"/>
        </w:rPr>
        <w:t>. Програмою</w:t>
      </w:r>
      <w:r w:rsidRPr="005F15AC">
        <w:rPr>
          <w:rFonts w:ascii="Times New Roman" w:eastAsia="Times New Roman" w:hAnsi="Times New Roman" w:cs="Times New Roman"/>
          <w:sz w:val="28"/>
          <w:szCs w:val="28"/>
          <w:lang w:eastAsia="ru-RU"/>
        </w:rPr>
        <w:t xml:space="preserve"> передбачено улаштування засобів безперешкодного доступу осіб із інвалідністю та інших </w:t>
      </w:r>
      <w:proofErr w:type="spellStart"/>
      <w:r w:rsidRPr="005F15AC">
        <w:rPr>
          <w:rFonts w:ascii="Times New Roman" w:eastAsia="Times New Roman" w:hAnsi="Times New Roman" w:cs="Times New Roman"/>
          <w:sz w:val="28"/>
          <w:szCs w:val="28"/>
          <w:lang w:eastAsia="ru-RU"/>
        </w:rPr>
        <w:t>маломобільних</w:t>
      </w:r>
      <w:proofErr w:type="spellEnd"/>
      <w:r w:rsidRPr="005F15AC">
        <w:rPr>
          <w:rFonts w:ascii="Times New Roman" w:eastAsia="Times New Roman" w:hAnsi="Times New Roman" w:cs="Times New Roman"/>
          <w:sz w:val="28"/>
          <w:szCs w:val="28"/>
          <w:lang w:eastAsia="ru-RU"/>
        </w:rPr>
        <w:t xml:space="preserve"> груп населення до об’єктів інженерно-транспортної інфраструктури або їх розумного пристосування</w:t>
      </w:r>
      <w:r w:rsidR="003000A2">
        <w:rPr>
          <w:rFonts w:ascii="Times New Roman" w:eastAsia="Times New Roman" w:hAnsi="Times New Roman" w:cs="Times New Roman"/>
          <w:sz w:val="28"/>
          <w:szCs w:val="28"/>
          <w:lang w:eastAsia="ru-RU"/>
        </w:rPr>
        <w:t xml:space="preserve">. Таким чином проект рішення </w:t>
      </w:r>
      <w:r w:rsidR="003000A2" w:rsidRPr="003000A2">
        <w:rPr>
          <w:rFonts w:ascii="Times New Roman" w:eastAsia="Times New Roman" w:hAnsi="Times New Roman" w:cs="Times New Roman"/>
          <w:sz w:val="28"/>
          <w:szCs w:val="28"/>
          <w:lang w:eastAsia="ru-RU"/>
        </w:rPr>
        <w:t>стосується прав і соціальної захищеності осіб з інвалідністю</w:t>
      </w:r>
      <w:r w:rsidR="003000A2">
        <w:rPr>
          <w:rFonts w:ascii="Times New Roman" w:eastAsia="Times New Roman" w:hAnsi="Times New Roman" w:cs="Times New Roman"/>
          <w:sz w:val="28"/>
          <w:szCs w:val="28"/>
          <w:lang w:eastAsia="ru-RU"/>
        </w:rPr>
        <w:t>.</w:t>
      </w:r>
    </w:p>
    <w:p w14:paraId="131B1D72" w14:textId="77777777" w:rsidR="005F15AC" w:rsidRPr="003000A2" w:rsidRDefault="005F15AC" w:rsidP="00B92EB9">
      <w:pPr>
        <w:shd w:val="clear" w:color="auto" w:fill="FFFFFF"/>
        <w:spacing w:after="0" w:line="240" w:lineRule="auto"/>
        <w:ind w:right="-6" w:firstLine="567"/>
        <w:contextualSpacing/>
        <w:jc w:val="both"/>
        <w:rPr>
          <w:rFonts w:ascii="Times New Roman" w:eastAsia="Times New Roman" w:hAnsi="Times New Roman" w:cs="Times New Roman"/>
          <w:sz w:val="10"/>
          <w:szCs w:val="28"/>
          <w:lang w:eastAsia="ru-RU"/>
        </w:rPr>
      </w:pPr>
      <w:bookmarkStart w:id="3" w:name="_GoBack"/>
      <w:bookmarkEnd w:id="3"/>
    </w:p>
    <w:p w14:paraId="7C9CB2BF" w14:textId="74F5C1DC" w:rsidR="00B92EB9" w:rsidRPr="005F15AC" w:rsidRDefault="00B91148" w:rsidP="00B92EB9">
      <w:pPr>
        <w:shd w:val="clear" w:color="auto" w:fill="FFFFFF"/>
        <w:spacing w:after="0" w:line="240" w:lineRule="auto"/>
        <w:ind w:right="-6" w:firstLine="567"/>
        <w:contextualSpacing/>
        <w:jc w:val="both"/>
        <w:rPr>
          <w:rFonts w:ascii="Times New Roman" w:eastAsia="Times New Roman" w:hAnsi="Times New Roman" w:cs="Times New Roman"/>
          <w:b/>
          <w:sz w:val="28"/>
          <w:szCs w:val="28"/>
          <w:lang w:eastAsia="uk-UA"/>
        </w:rPr>
      </w:pPr>
      <w:r w:rsidRPr="005F15AC">
        <w:rPr>
          <w:rFonts w:ascii="Times New Roman" w:eastAsia="Times New Roman" w:hAnsi="Times New Roman" w:cs="Times New Roman"/>
          <w:b/>
          <w:sz w:val="28"/>
          <w:szCs w:val="28"/>
          <w:lang w:eastAsia="uk-UA"/>
        </w:rPr>
        <w:t>6</w:t>
      </w:r>
      <w:r w:rsidR="00B92EB9" w:rsidRPr="005F15AC">
        <w:rPr>
          <w:rFonts w:ascii="Times New Roman" w:eastAsia="Times New Roman" w:hAnsi="Times New Roman" w:cs="Times New Roman"/>
          <w:b/>
          <w:sz w:val="28"/>
          <w:szCs w:val="28"/>
          <w:lang w:eastAsia="uk-UA"/>
        </w:rPr>
        <w:t>.  Прізвище або назва суб’єкта подання, прізвище, посада, контактні дані доповідача проєкту рішення на пленарному засіданні та особи, відповідальної за супроводження проєкту рішення.</w:t>
      </w:r>
    </w:p>
    <w:p w14:paraId="2282555B" w14:textId="060D74CE" w:rsidR="00B92EB9" w:rsidRPr="005F15AC" w:rsidRDefault="00B92EB9" w:rsidP="00B92EB9">
      <w:pPr>
        <w:shd w:val="clear" w:color="auto" w:fill="FFFFFF"/>
        <w:spacing w:line="240" w:lineRule="auto"/>
        <w:ind w:right="-6" w:firstLine="567"/>
        <w:contextualSpacing/>
        <w:jc w:val="both"/>
        <w:rPr>
          <w:rFonts w:ascii="Times New Roman" w:eastAsia="Times New Roman" w:hAnsi="Times New Roman" w:cs="Times New Roman"/>
          <w:sz w:val="28"/>
          <w:szCs w:val="28"/>
          <w:lang w:eastAsia="uk-UA"/>
        </w:rPr>
      </w:pPr>
      <w:r w:rsidRPr="005F15AC">
        <w:rPr>
          <w:rFonts w:ascii="Times New Roman" w:eastAsia="Times New Roman" w:hAnsi="Times New Roman" w:cs="Times New Roman"/>
          <w:sz w:val="28"/>
          <w:szCs w:val="28"/>
          <w:lang w:eastAsia="uk-UA"/>
        </w:rPr>
        <w:t xml:space="preserve">Суб’єктом подання проєкту рішення є </w:t>
      </w:r>
      <w:r w:rsidR="00282A7B" w:rsidRPr="005F15AC">
        <w:rPr>
          <w:rFonts w:ascii="Times New Roman" w:eastAsia="Times New Roman" w:hAnsi="Times New Roman" w:cs="Times New Roman"/>
          <w:sz w:val="28"/>
          <w:szCs w:val="28"/>
          <w:lang w:eastAsia="uk-UA"/>
        </w:rPr>
        <w:t xml:space="preserve">Департамент транспортної інфраструктури </w:t>
      </w:r>
      <w:r w:rsidRPr="005F15AC">
        <w:rPr>
          <w:rFonts w:ascii="Times New Roman" w:eastAsia="Times New Roman" w:hAnsi="Times New Roman" w:cs="Times New Roman"/>
          <w:sz w:val="28"/>
          <w:szCs w:val="28"/>
          <w:lang w:eastAsia="uk-UA"/>
        </w:rPr>
        <w:t>виконавч</w:t>
      </w:r>
      <w:r w:rsidR="00282A7B" w:rsidRPr="005F15AC">
        <w:rPr>
          <w:rFonts w:ascii="Times New Roman" w:eastAsia="Times New Roman" w:hAnsi="Times New Roman" w:cs="Times New Roman"/>
          <w:sz w:val="28"/>
          <w:szCs w:val="28"/>
          <w:lang w:eastAsia="uk-UA"/>
        </w:rPr>
        <w:t>ого</w:t>
      </w:r>
      <w:r w:rsidRPr="005F15AC">
        <w:rPr>
          <w:rFonts w:ascii="Times New Roman" w:eastAsia="Times New Roman" w:hAnsi="Times New Roman" w:cs="Times New Roman"/>
          <w:sz w:val="28"/>
          <w:szCs w:val="28"/>
          <w:lang w:eastAsia="uk-UA"/>
        </w:rPr>
        <w:t xml:space="preserve"> орган</w:t>
      </w:r>
      <w:r w:rsidR="00282A7B" w:rsidRPr="005F15AC">
        <w:rPr>
          <w:rFonts w:ascii="Times New Roman" w:eastAsia="Times New Roman" w:hAnsi="Times New Roman" w:cs="Times New Roman"/>
          <w:sz w:val="28"/>
          <w:szCs w:val="28"/>
          <w:lang w:eastAsia="uk-UA"/>
        </w:rPr>
        <w:t>у</w:t>
      </w:r>
      <w:r w:rsidRPr="005F15AC">
        <w:rPr>
          <w:rFonts w:ascii="Times New Roman" w:eastAsia="Times New Roman" w:hAnsi="Times New Roman" w:cs="Times New Roman"/>
          <w:sz w:val="28"/>
          <w:szCs w:val="28"/>
          <w:lang w:eastAsia="uk-UA"/>
        </w:rPr>
        <w:t xml:space="preserve"> </w:t>
      </w:r>
      <w:r w:rsidR="00282A7B" w:rsidRPr="005F15AC">
        <w:rPr>
          <w:rFonts w:ascii="Times New Roman" w:eastAsia="Times New Roman" w:hAnsi="Times New Roman" w:cs="Times New Roman"/>
          <w:sz w:val="28"/>
          <w:szCs w:val="28"/>
          <w:lang w:eastAsia="uk-UA"/>
        </w:rPr>
        <w:t>Київської міської ради (Київської міської державної адміністрації</w:t>
      </w:r>
      <w:r w:rsidRPr="005F15AC">
        <w:rPr>
          <w:rFonts w:ascii="Times New Roman" w:eastAsia="Times New Roman" w:hAnsi="Times New Roman" w:cs="Times New Roman"/>
          <w:sz w:val="28"/>
          <w:szCs w:val="28"/>
          <w:lang w:eastAsia="uk-UA"/>
        </w:rPr>
        <w:t>).</w:t>
      </w:r>
    </w:p>
    <w:p w14:paraId="7D114338" w14:textId="77777777" w:rsidR="00B92EB9" w:rsidRPr="005F15AC" w:rsidRDefault="00B92EB9" w:rsidP="00B92EB9">
      <w:pPr>
        <w:shd w:val="clear" w:color="auto" w:fill="FFFFFF"/>
        <w:spacing w:line="240" w:lineRule="auto"/>
        <w:ind w:right="-6" w:firstLine="567"/>
        <w:contextualSpacing/>
        <w:jc w:val="both"/>
        <w:rPr>
          <w:rFonts w:ascii="Times New Roman" w:eastAsia="Times New Roman" w:hAnsi="Times New Roman" w:cs="Times New Roman"/>
          <w:sz w:val="28"/>
          <w:szCs w:val="28"/>
          <w:lang w:eastAsia="uk-UA"/>
        </w:rPr>
      </w:pPr>
      <w:r w:rsidRPr="005F15AC">
        <w:rPr>
          <w:rFonts w:ascii="Times New Roman" w:eastAsia="Times New Roman" w:hAnsi="Times New Roman" w:cs="Times New Roman"/>
          <w:sz w:val="28"/>
          <w:szCs w:val="28"/>
          <w:lang w:eastAsia="uk-UA"/>
        </w:rPr>
        <w:t>Доповідачем на пленарному засіданні Київської міської ради</w:t>
      </w:r>
      <w:r w:rsidRPr="005F15AC">
        <w:rPr>
          <w:rFonts w:ascii="Times New Roman" w:eastAsia="Times New Roman" w:hAnsi="Times New Roman" w:cs="Times New Roman"/>
          <w:b/>
          <w:sz w:val="28"/>
          <w:szCs w:val="28"/>
          <w:lang w:eastAsia="uk-UA"/>
        </w:rPr>
        <w:t xml:space="preserve"> </w:t>
      </w:r>
      <w:r w:rsidRPr="005F15AC">
        <w:rPr>
          <w:rFonts w:ascii="Times New Roman" w:eastAsia="Times New Roman" w:hAnsi="Times New Roman" w:cs="Times New Roman"/>
          <w:sz w:val="28"/>
          <w:szCs w:val="28"/>
          <w:lang w:eastAsia="uk-UA"/>
        </w:rPr>
        <w:t xml:space="preserve">та особою, відповідальною за супроводження проєкту рішення є директор Департаменту транспортної інфраструктури виконавчого органу Київської міської ради (Київської міської державної адміністрації) </w:t>
      </w:r>
      <w:proofErr w:type="spellStart"/>
      <w:r w:rsidRPr="005F15AC">
        <w:rPr>
          <w:rFonts w:ascii="Times New Roman" w:eastAsia="Times New Roman" w:hAnsi="Times New Roman" w:cs="Times New Roman"/>
          <w:sz w:val="28"/>
          <w:szCs w:val="28"/>
          <w:lang w:eastAsia="uk-UA"/>
        </w:rPr>
        <w:t>Кандибор</w:t>
      </w:r>
      <w:proofErr w:type="spellEnd"/>
      <w:r w:rsidRPr="005F15AC">
        <w:rPr>
          <w:rFonts w:ascii="Times New Roman" w:eastAsia="Times New Roman" w:hAnsi="Times New Roman" w:cs="Times New Roman"/>
          <w:sz w:val="28"/>
          <w:szCs w:val="28"/>
          <w:lang w:eastAsia="uk-UA"/>
        </w:rPr>
        <w:t xml:space="preserve"> Руслан Васильович </w:t>
      </w:r>
      <w:r w:rsidRPr="005F15AC">
        <w:rPr>
          <w:rFonts w:ascii="Times New Roman" w:eastAsia="Times New Roman" w:hAnsi="Times New Roman" w:cs="Times New Roman"/>
          <w:sz w:val="28"/>
          <w:szCs w:val="28"/>
          <w:lang w:eastAsia="uk-UA"/>
        </w:rPr>
        <w:br/>
        <w:t>(</w:t>
      </w:r>
      <w:proofErr w:type="spellStart"/>
      <w:r w:rsidRPr="005F15AC">
        <w:rPr>
          <w:rFonts w:ascii="Times New Roman" w:eastAsia="Times New Roman" w:hAnsi="Times New Roman" w:cs="Times New Roman"/>
          <w:sz w:val="28"/>
          <w:szCs w:val="28"/>
          <w:lang w:eastAsia="uk-UA"/>
        </w:rPr>
        <w:t>тел</w:t>
      </w:r>
      <w:proofErr w:type="spellEnd"/>
      <w:r w:rsidRPr="005F15AC">
        <w:rPr>
          <w:rFonts w:ascii="Times New Roman" w:eastAsia="Times New Roman" w:hAnsi="Times New Roman" w:cs="Times New Roman"/>
          <w:sz w:val="28"/>
          <w:szCs w:val="28"/>
          <w:lang w:eastAsia="uk-UA"/>
        </w:rPr>
        <w:t>. 366 63 09).</w:t>
      </w:r>
    </w:p>
    <w:p w14:paraId="1A4CC045" w14:textId="77777777" w:rsidR="00B92EB9" w:rsidRPr="005F15AC" w:rsidRDefault="00B92EB9" w:rsidP="00B9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eastAsia="ru-RU"/>
        </w:rPr>
      </w:pPr>
    </w:p>
    <w:p w14:paraId="1D44F569" w14:textId="1476D7D9" w:rsidR="00B92EB9" w:rsidRPr="005F15AC" w:rsidRDefault="00B91148" w:rsidP="00B9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8"/>
          <w:szCs w:val="28"/>
          <w:lang w:eastAsia="ru-RU"/>
        </w:rPr>
      </w:pPr>
      <w:r w:rsidRPr="005F15AC">
        <w:rPr>
          <w:rFonts w:ascii="Times New Roman" w:eastAsia="Times New Roman" w:hAnsi="Times New Roman" w:cs="Times New Roman"/>
          <w:b/>
          <w:sz w:val="28"/>
          <w:szCs w:val="28"/>
          <w:lang w:eastAsia="ru-RU"/>
        </w:rPr>
        <w:t>7</w:t>
      </w:r>
      <w:r w:rsidR="00B92EB9" w:rsidRPr="005F15AC">
        <w:rPr>
          <w:rFonts w:ascii="Times New Roman" w:eastAsia="Times New Roman" w:hAnsi="Times New Roman" w:cs="Times New Roman"/>
          <w:b/>
          <w:sz w:val="28"/>
          <w:szCs w:val="28"/>
          <w:lang w:eastAsia="ru-RU"/>
        </w:rPr>
        <w:t xml:space="preserve">. Інформація про те, чи містить </w:t>
      </w:r>
      <w:proofErr w:type="spellStart"/>
      <w:r w:rsidR="00B92EB9" w:rsidRPr="005F15AC">
        <w:rPr>
          <w:rFonts w:ascii="Times New Roman" w:eastAsia="Times New Roman" w:hAnsi="Times New Roman" w:cs="Times New Roman"/>
          <w:b/>
          <w:sz w:val="28"/>
          <w:szCs w:val="28"/>
          <w:lang w:eastAsia="ru-RU"/>
        </w:rPr>
        <w:t>проєкт</w:t>
      </w:r>
      <w:proofErr w:type="spellEnd"/>
      <w:r w:rsidR="00B92EB9" w:rsidRPr="005F15AC">
        <w:rPr>
          <w:rFonts w:ascii="Times New Roman" w:eastAsia="Times New Roman" w:hAnsi="Times New Roman" w:cs="Times New Roman"/>
          <w:b/>
          <w:sz w:val="28"/>
          <w:szCs w:val="28"/>
          <w:lang w:eastAsia="ru-RU"/>
        </w:rPr>
        <w:t xml:space="preserve"> рішення інформацію з обмеженим доступом.</w:t>
      </w:r>
    </w:p>
    <w:p w14:paraId="0452F28B" w14:textId="3372D261" w:rsidR="000D6521" w:rsidRPr="005F15AC" w:rsidRDefault="00B92EB9" w:rsidP="00B9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5F15AC">
        <w:rPr>
          <w:rFonts w:ascii="Times New Roman" w:eastAsia="Times New Roman" w:hAnsi="Times New Roman" w:cs="Times New Roman"/>
          <w:sz w:val="28"/>
          <w:szCs w:val="28"/>
          <w:lang w:eastAsia="ru-RU"/>
        </w:rPr>
        <w:t>Проєкт</w:t>
      </w:r>
      <w:proofErr w:type="spellEnd"/>
      <w:r w:rsidRPr="005F15AC">
        <w:rPr>
          <w:rFonts w:ascii="Times New Roman" w:eastAsia="Times New Roman" w:hAnsi="Times New Roman" w:cs="Times New Roman"/>
          <w:sz w:val="28"/>
          <w:szCs w:val="28"/>
          <w:lang w:eastAsia="ru-RU"/>
        </w:rPr>
        <w:t xml:space="preserve"> рішення не містить інформації з обмеженим доступом у розумінні статті 6 Закону України «Про доступ до публічної інформації».</w:t>
      </w:r>
    </w:p>
    <w:p w14:paraId="7F8C38EA" w14:textId="29A7C08B" w:rsidR="00816BF5" w:rsidRPr="005F15AC" w:rsidRDefault="00816BF5" w:rsidP="00713903">
      <w:pPr>
        <w:spacing w:after="0" w:line="240" w:lineRule="auto"/>
        <w:contextualSpacing/>
        <w:rPr>
          <w:rFonts w:ascii="Times New Roman" w:hAnsi="Times New Roman" w:cs="Times New Roman"/>
          <w:sz w:val="28"/>
          <w:szCs w:val="28"/>
        </w:rPr>
      </w:pPr>
    </w:p>
    <w:p w14:paraId="23925683" w14:textId="77777777" w:rsidR="00B91148" w:rsidRPr="005F15AC" w:rsidRDefault="00B91148" w:rsidP="00713903">
      <w:pPr>
        <w:spacing w:after="0" w:line="240" w:lineRule="auto"/>
        <w:contextualSpacing/>
        <w:rPr>
          <w:rFonts w:ascii="Times New Roman" w:hAnsi="Times New Roman" w:cs="Times New Roman"/>
          <w:sz w:val="28"/>
          <w:szCs w:val="28"/>
        </w:rPr>
      </w:pPr>
    </w:p>
    <w:p w14:paraId="47D1C899" w14:textId="23BE621C" w:rsidR="00955771" w:rsidRPr="005F15AC" w:rsidRDefault="00282A7B" w:rsidP="00103CE7">
      <w:pPr>
        <w:widowControl w:val="0"/>
        <w:shd w:val="clear" w:color="auto" w:fill="FFFFFF"/>
        <w:autoSpaceDE w:val="0"/>
        <w:autoSpaceDN w:val="0"/>
        <w:adjustRightInd w:val="0"/>
        <w:spacing w:line="240" w:lineRule="auto"/>
        <w:contextualSpacing/>
        <w:rPr>
          <w:rFonts w:ascii="Times New Roman" w:eastAsia="Calibri" w:hAnsi="Times New Roman" w:cs="Times New Roman"/>
          <w:sz w:val="28"/>
          <w:szCs w:val="28"/>
        </w:rPr>
      </w:pPr>
      <w:r w:rsidRPr="005F15AC">
        <w:rPr>
          <w:rFonts w:ascii="Times New Roman" w:eastAsia="Calibri" w:hAnsi="Times New Roman" w:cs="Times New Roman"/>
          <w:sz w:val="28"/>
          <w:szCs w:val="28"/>
        </w:rPr>
        <w:t>Д</w:t>
      </w:r>
      <w:r w:rsidR="00F5496D" w:rsidRPr="005F15AC">
        <w:rPr>
          <w:rFonts w:ascii="Times New Roman" w:eastAsia="Calibri" w:hAnsi="Times New Roman" w:cs="Times New Roman"/>
          <w:sz w:val="28"/>
          <w:szCs w:val="28"/>
        </w:rPr>
        <w:t>иректор</w:t>
      </w:r>
      <w:r w:rsidRPr="005F15AC">
        <w:rPr>
          <w:rFonts w:ascii="Times New Roman" w:eastAsia="Calibri" w:hAnsi="Times New Roman" w:cs="Times New Roman"/>
          <w:sz w:val="28"/>
          <w:szCs w:val="28"/>
        </w:rPr>
        <w:t xml:space="preserve"> </w:t>
      </w:r>
      <w:r w:rsidR="00F5496D" w:rsidRPr="005F15AC">
        <w:rPr>
          <w:rFonts w:ascii="Times New Roman" w:eastAsia="Calibri" w:hAnsi="Times New Roman" w:cs="Times New Roman"/>
          <w:sz w:val="28"/>
          <w:szCs w:val="28"/>
        </w:rPr>
        <w:t>Департаменту</w:t>
      </w:r>
      <w:r w:rsidR="00955771" w:rsidRPr="005F15AC">
        <w:rPr>
          <w:rFonts w:ascii="Times New Roman" w:eastAsia="Calibri" w:hAnsi="Times New Roman" w:cs="Times New Roman"/>
          <w:sz w:val="28"/>
          <w:szCs w:val="28"/>
        </w:rPr>
        <w:t xml:space="preserve"> </w:t>
      </w:r>
      <w:r w:rsidR="00F5496D" w:rsidRPr="005F15AC">
        <w:rPr>
          <w:rFonts w:ascii="Times New Roman" w:eastAsia="Calibri" w:hAnsi="Times New Roman" w:cs="Times New Roman"/>
          <w:sz w:val="28"/>
          <w:szCs w:val="28"/>
        </w:rPr>
        <w:t xml:space="preserve">транспортної </w:t>
      </w:r>
    </w:p>
    <w:p w14:paraId="011D3031" w14:textId="6DF863A8" w:rsidR="00713903" w:rsidRPr="005F15AC" w:rsidRDefault="00F5496D" w:rsidP="00103CE7">
      <w:pPr>
        <w:widowControl w:val="0"/>
        <w:shd w:val="clear" w:color="auto" w:fill="FFFFFF"/>
        <w:autoSpaceDE w:val="0"/>
        <w:autoSpaceDN w:val="0"/>
        <w:adjustRightInd w:val="0"/>
        <w:spacing w:line="240" w:lineRule="auto"/>
        <w:contextualSpacing/>
        <w:rPr>
          <w:rFonts w:ascii="Times New Roman" w:hAnsi="Times New Roman" w:cs="Times New Roman"/>
          <w:sz w:val="28"/>
          <w:szCs w:val="28"/>
        </w:rPr>
      </w:pPr>
      <w:r w:rsidRPr="005F15AC">
        <w:rPr>
          <w:rFonts w:ascii="Times New Roman" w:eastAsia="Calibri" w:hAnsi="Times New Roman" w:cs="Times New Roman"/>
          <w:sz w:val="28"/>
          <w:szCs w:val="28"/>
        </w:rPr>
        <w:t>інфраструктури</w:t>
      </w:r>
      <w:r w:rsidR="00F112CA" w:rsidRPr="005F15AC">
        <w:rPr>
          <w:rFonts w:ascii="Times New Roman" w:eastAsia="Calibri" w:hAnsi="Times New Roman" w:cs="Times New Roman"/>
          <w:sz w:val="28"/>
          <w:szCs w:val="28"/>
        </w:rPr>
        <w:t xml:space="preserve"> міста Києва</w:t>
      </w:r>
      <w:r w:rsidR="00F112CA" w:rsidRPr="005F15AC">
        <w:rPr>
          <w:rFonts w:ascii="Times New Roman" w:eastAsia="Calibri" w:hAnsi="Times New Roman" w:cs="Times New Roman"/>
          <w:sz w:val="28"/>
          <w:szCs w:val="28"/>
        </w:rPr>
        <w:tab/>
      </w:r>
      <w:r w:rsidR="00F112CA" w:rsidRPr="005F15AC">
        <w:rPr>
          <w:rFonts w:ascii="Times New Roman" w:eastAsia="Calibri" w:hAnsi="Times New Roman" w:cs="Times New Roman"/>
          <w:sz w:val="28"/>
          <w:szCs w:val="28"/>
        </w:rPr>
        <w:tab/>
      </w:r>
      <w:r w:rsidR="00264303" w:rsidRPr="005F15AC">
        <w:rPr>
          <w:rFonts w:ascii="Times New Roman" w:eastAsia="Calibri" w:hAnsi="Times New Roman" w:cs="Times New Roman"/>
          <w:sz w:val="28"/>
          <w:szCs w:val="28"/>
        </w:rPr>
        <w:tab/>
      </w:r>
      <w:r w:rsidR="00264303" w:rsidRPr="005F15AC">
        <w:rPr>
          <w:rFonts w:ascii="Times New Roman" w:eastAsia="Calibri" w:hAnsi="Times New Roman" w:cs="Times New Roman"/>
          <w:sz w:val="28"/>
          <w:szCs w:val="28"/>
        </w:rPr>
        <w:tab/>
      </w:r>
      <w:r w:rsidR="005C4576" w:rsidRPr="005F15AC">
        <w:rPr>
          <w:rFonts w:ascii="Times New Roman" w:eastAsia="Calibri" w:hAnsi="Times New Roman" w:cs="Times New Roman"/>
          <w:sz w:val="28"/>
          <w:szCs w:val="28"/>
        </w:rPr>
        <w:tab/>
        <w:t xml:space="preserve">   </w:t>
      </w:r>
      <w:r w:rsidR="00282A7B" w:rsidRPr="005F15AC">
        <w:rPr>
          <w:rFonts w:ascii="Times New Roman" w:eastAsia="Calibri" w:hAnsi="Times New Roman" w:cs="Times New Roman"/>
          <w:sz w:val="28"/>
          <w:szCs w:val="28"/>
        </w:rPr>
        <w:t xml:space="preserve">      </w:t>
      </w:r>
      <w:r w:rsidR="00282A7B" w:rsidRPr="005F15AC">
        <w:rPr>
          <w:rFonts w:ascii="Times New Roman" w:eastAsia="Times New Roman" w:hAnsi="Times New Roman" w:cs="Times New Roman"/>
          <w:sz w:val="28"/>
          <w:szCs w:val="28"/>
          <w:lang w:eastAsia="ru-RU"/>
        </w:rPr>
        <w:t>Руслан КАНДИБОР</w:t>
      </w:r>
    </w:p>
    <w:sectPr w:rsidR="00713903" w:rsidRPr="005F15AC" w:rsidSect="0060590A">
      <w:pgSz w:w="11906" w:h="16838"/>
      <w:pgMar w:top="709"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66DE"/>
    <w:multiLevelType w:val="multilevel"/>
    <w:tmpl w:val="0DFE44A8"/>
    <w:lvl w:ilvl="0">
      <w:start w:val="1"/>
      <w:numFmt w:val="decimal"/>
      <w:lvlText w:val="%1."/>
      <w:lvlJc w:val="left"/>
      <w:pPr>
        <w:ind w:left="927" w:hanging="360"/>
      </w:pPr>
      <w:rPr>
        <w:rFonts w:ascii="Times New Roman" w:eastAsia="Times New Roman" w:hAnsi="Times New Roman" w:cs="Times New Roman" w:hint="default"/>
        <w:color w:val="auto"/>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41B9168E"/>
    <w:multiLevelType w:val="hybridMultilevel"/>
    <w:tmpl w:val="0234F28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48E35F38"/>
    <w:multiLevelType w:val="hybridMultilevel"/>
    <w:tmpl w:val="628E7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17"/>
    <w:rsid w:val="00042DAE"/>
    <w:rsid w:val="0006232C"/>
    <w:rsid w:val="000674E2"/>
    <w:rsid w:val="0007371C"/>
    <w:rsid w:val="00075B86"/>
    <w:rsid w:val="000D6521"/>
    <w:rsid w:val="000E749D"/>
    <w:rsid w:val="00103CE7"/>
    <w:rsid w:val="0011200C"/>
    <w:rsid w:val="00137346"/>
    <w:rsid w:val="00153B61"/>
    <w:rsid w:val="00157547"/>
    <w:rsid w:val="0016722F"/>
    <w:rsid w:val="001808D1"/>
    <w:rsid w:val="001A4D47"/>
    <w:rsid w:val="001C6B41"/>
    <w:rsid w:val="001F43E9"/>
    <w:rsid w:val="002219B2"/>
    <w:rsid w:val="00225717"/>
    <w:rsid w:val="002261D7"/>
    <w:rsid w:val="00264303"/>
    <w:rsid w:val="00282A7B"/>
    <w:rsid w:val="0029537E"/>
    <w:rsid w:val="002B6DAC"/>
    <w:rsid w:val="002C5149"/>
    <w:rsid w:val="002D67A6"/>
    <w:rsid w:val="002F353B"/>
    <w:rsid w:val="002F5738"/>
    <w:rsid w:val="003000A2"/>
    <w:rsid w:val="003006FD"/>
    <w:rsid w:val="003037D4"/>
    <w:rsid w:val="00314383"/>
    <w:rsid w:val="0031462A"/>
    <w:rsid w:val="00334F50"/>
    <w:rsid w:val="00350D9C"/>
    <w:rsid w:val="00393945"/>
    <w:rsid w:val="003B3F37"/>
    <w:rsid w:val="003D5990"/>
    <w:rsid w:val="0043488B"/>
    <w:rsid w:val="004470E4"/>
    <w:rsid w:val="00481A89"/>
    <w:rsid w:val="0048248D"/>
    <w:rsid w:val="00484FF8"/>
    <w:rsid w:val="004A73DE"/>
    <w:rsid w:val="004B2ED5"/>
    <w:rsid w:val="004D042B"/>
    <w:rsid w:val="004E12BB"/>
    <w:rsid w:val="004E3548"/>
    <w:rsid w:val="00516769"/>
    <w:rsid w:val="00525F38"/>
    <w:rsid w:val="00555B82"/>
    <w:rsid w:val="00580DB8"/>
    <w:rsid w:val="005C4576"/>
    <w:rsid w:val="005E1919"/>
    <w:rsid w:val="005F15AC"/>
    <w:rsid w:val="005F2D54"/>
    <w:rsid w:val="0060590A"/>
    <w:rsid w:val="00627D16"/>
    <w:rsid w:val="00677295"/>
    <w:rsid w:val="0068086B"/>
    <w:rsid w:val="00682F46"/>
    <w:rsid w:val="006834B9"/>
    <w:rsid w:val="00690338"/>
    <w:rsid w:val="00695951"/>
    <w:rsid w:val="00713903"/>
    <w:rsid w:val="0072244D"/>
    <w:rsid w:val="00726AFC"/>
    <w:rsid w:val="007441B1"/>
    <w:rsid w:val="007708BE"/>
    <w:rsid w:val="00770A67"/>
    <w:rsid w:val="00772A80"/>
    <w:rsid w:val="00790395"/>
    <w:rsid w:val="007A4387"/>
    <w:rsid w:val="007B6143"/>
    <w:rsid w:val="007C28F2"/>
    <w:rsid w:val="007C3D79"/>
    <w:rsid w:val="007E7224"/>
    <w:rsid w:val="007F3355"/>
    <w:rsid w:val="00816BF5"/>
    <w:rsid w:val="00834B1F"/>
    <w:rsid w:val="008413BD"/>
    <w:rsid w:val="00843BD3"/>
    <w:rsid w:val="0084793D"/>
    <w:rsid w:val="00853D20"/>
    <w:rsid w:val="008E509B"/>
    <w:rsid w:val="008F6974"/>
    <w:rsid w:val="0090758A"/>
    <w:rsid w:val="009112D7"/>
    <w:rsid w:val="009366BA"/>
    <w:rsid w:val="00955771"/>
    <w:rsid w:val="009638A0"/>
    <w:rsid w:val="009957DA"/>
    <w:rsid w:val="009C7D66"/>
    <w:rsid w:val="009D15AC"/>
    <w:rsid w:val="009E5633"/>
    <w:rsid w:val="009F50BF"/>
    <w:rsid w:val="00A63D93"/>
    <w:rsid w:val="00A714F9"/>
    <w:rsid w:val="00AA1F88"/>
    <w:rsid w:val="00AA3E2F"/>
    <w:rsid w:val="00B05366"/>
    <w:rsid w:val="00B15B9E"/>
    <w:rsid w:val="00B67C19"/>
    <w:rsid w:val="00B9011C"/>
    <w:rsid w:val="00B91148"/>
    <w:rsid w:val="00B92EB9"/>
    <w:rsid w:val="00B974D3"/>
    <w:rsid w:val="00BE75DA"/>
    <w:rsid w:val="00C01D89"/>
    <w:rsid w:val="00C0351A"/>
    <w:rsid w:val="00C21332"/>
    <w:rsid w:val="00C25705"/>
    <w:rsid w:val="00C35599"/>
    <w:rsid w:val="00C45D6C"/>
    <w:rsid w:val="00C75F62"/>
    <w:rsid w:val="00C84BDC"/>
    <w:rsid w:val="00C84DD3"/>
    <w:rsid w:val="00C97E9C"/>
    <w:rsid w:val="00CB5EFC"/>
    <w:rsid w:val="00CE39AC"/>
    <w:rsid w:val="00CE3F9E"/>
    <w:rsid w:val="00CE6664"/>
    <w:rsid w:val="00D017C5"/>
    <w:rsid w:val="00D24ECC"/>
    <w:rsid w:val="00D44EF6"/>
    <w:rsid w:val="00D91536"/>
    <w:rsid w:val="00DB18F5"/>
    <w:rsid w:val="00DD7E77"/>
    <w:rsid w:val="00DF0B55"/>
    <w:rsid w:val="00E35A97"/>
    <w:rsid w:val="00E70A26"/>
    <w:rsid w:val="00EA3AD4"/>
    <w:rsid w:val="00EE7238"/>
    <w:rsid w:val="00EF7094"/>
    <w:rsid w:val="00F112CA"/>
    <w:rsid w:val="00F1469B"/>
    <w:rsid w:val="00F475CB"/>
    <w:rsid w:val="00F5496D"/>
    <w:rsid w:val="00F64FA7"/>
    <w:rsid w:val="00F70FC1"/>
    <w:rsid w:val="00F94869"/>
    <w:rsid w:val="00FE45C7"/>
    <w:rsid w:val="00FE5EAF"/>
    <w:rsid w:val="00FE5F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F735"/>
  <w15:docId w15:val="{7F2519FD-C171-4FAE-B62D-498F1AE0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0E4"/>
    <w:pPr>
      <w:ind w:left="720"/>
      <w:contextualSpacing/>
    </w:pPr>
  </w:style>
  <w:style w:type="paragraph" w:styleId="a4">
    <w:name w:val="Normal (Web)"/>
    <w:basedOn w:val="a"/>
    <w:rsid w:val="004D042B"/>
    <w:pPr>
      <w:spacing w:before="100" w:beforeAutospacing="1" w:after="100" w:afterAutospacing="1" w:line="240" w:lineRule="auto"/>
      <w:ind w:firstLine="709"/>
      <w:jc w:val="both"/>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9F50B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F5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4741</Words>
  <Characters>2703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ЦОДР2</dc:creator>
  <cp:lastModifiedBy>Москаленко Сергій Олександрович</cp:lastModifiedBy>
  <cp:revision>6</cp:revision>
  <cp:lastPrinted>2023-11-23T07:36:00Z</cp:lastPrinted>
  <dcterms:created xsi:type="dcterms:W3CDTF">2023-11-17T07:02:00Z</dcterms:created>
  <dcterms:modified xsi:type="dcterms:W3CDTF">2023-11-23T07:39:00Z</dcterms:modified>
</cp:coreProperties>
</file>