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20445B" w:rsidRPr="006E2813" w:rsidRDefault="0020445B" w:rsidP="002044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8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6E28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6E28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Київської міської ради </w:t>
      </w:r>
    </w:p>
    <w:p w:rsidR="00DA1F58" w:rsidRDefault="00727D2E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r w:rsidR="00010540" w:rsidRPr="000105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рішення Київської міської ради </w:t>
      </w:r>
    </w:p>
    <w:p w:rsidR="00D44E92" w:rsidRPr="00010540" w:rsidRDefault="00010540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105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10</w:t>
      </w:r>
      <w:r w:rsidR="00A52B4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.02.</w:t>
      </w:r>
      <w:r w:rsidRPr="000105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2017</w:t>
      </w:r>
      <w:r w:rsidR="00A52B4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105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945/1949 «Про надання згоди на безоплатне прийняття до комунальної власності територіальної громади міста Києва цілісних майнових комплексів закладів культури»</w:t>
      </w:r>
    </w:p>
    <w:p w:rsidR="00010540" w:rsidRPr="00AA7F2C" w:rsidRDefault="00010540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E5B" w:rsidRDefault="003F1E5B" w:rsidP="003F1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проєкт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7C620A" w:rsidRDefault="0057535F" w:rsidP="00CF3B8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216">
        <w:rPr>
          <w:bCs/>
          <w:sz w:val="28"/>
          <w:szCs w:val="28"/>
        </w:rPr>
        <w:t>Р</w:t>
      </w:r>
      <w:r w:rsidR="00737120" w:rsidRPr="00F24216">
        <w:rPr>
          <w:bCs/>
          <w:sz w:val="28"/>
          <w:szCs w:val="28"/>
        </w:rPr>
        <w:t>ішення</w:t>
      </w:r>
      <w:r w:rsidRPr="00F24216">
        <w:rPr>
          <w:bCs/>
          <w:sz w:val="28"/>
          <w:szCs w:val="28"/>
        </w:rPr>
        <w:t>м</w:t>
      </w:r>
      <w:r w:rsidR="00737120" w:rsidRPr="00F24216">
        <w:rPr>
          <w:bCs/>
          <w:sz w:val="28"/>
          <w:szCs w:val="28"/>
        </w:rPr>
        <w:t xml:space="preserve"> Київської міської ради від </w:t>
      </w:r>
      <w:r w:rsidR="008D4879">
        <w:rPr>
          <w:bCs/>
          <w:sz w:val="28"/>
          <w:szCs w:val="28"/>
        </w:rPr>
        <w:t>10</w:t>
      </w:r>
      <w:r w:rsidR="00A52B4E">
        <w:rPr>
          <w:bCs/>
          <w:sz w:val="28"/>
          <w:szCs w:val="28"/>
        </w:rPr>
        <w:t>.02.</w:t>
      </w:r>
      <w:r w:rsidR="008D4879">
        <w:rPr>
          <w:bCs/>
          <w:sz w:val="28"/>
          <w:szCs w:val="28"/>
        </w:rPr>
        <w:t>2017</w:t>
      </w:r>
      <w:r w:rsidR="00A52B4E">
        <w:rPr>
          <w:bCs/>
          <w:sz w:val="28"/>
          <w:szCs w:val="28"/>
        </w:rPr>
        <w:t xml:space="preserve"> </w:t>
      </w:r>
      <w:r w:rsidR="00737120" w:rsidRPr="00F24216">
        <w:rPr>
          <w:bCs/>
          <w:sz w:val="28"/>
          <w:szCs w:val="28"/>
        </w:rPr>
        <w:t xml:space="preserve">№ </w:t>
      </w:r>
      <w:r w:rsidR="008D4879">
        <w:rPr>
          <w:bCs/>
          <w:sz w:val="28"/>
          <w:szCs w:val="28"/>
        </w:rPr>
        <w:t>945/1949</w:t>
      </w:r>
      <w:r w:rsidR="00F24216" w:rsidRPr="00F24216">
        <w:rPr>
          <w:bCs/>
          <w:sz w:val="28"/>
          <w:szCs w:val="28"/>
        </w:rPr>
        <w:t xml:space="preserve"> </w:t>
      </w:r>
      <w:r w:rsidR="008D4879">
        <w:rPr>
          <w:bCs/>
          <w:sz w:val="28"/>
          <w:szCs w:val="28"/>
        </w:rPr>
        <w:br/>
      </w:r>
      <w:r w:rsidR="00F24216" w:rsidRPr="00F24216">
        <w:rPr>
          <w:bCs/>
          <w:sz w:val="28"/>
          <w:szCs w:val="28"/>
        </w:rPr>
        <w:t>«Про надання згоди на безоплатне прийняття до комунальної власності територіальної</w:t>
      </w:r>
      <w:r w:rsidR="00F24216" w:rsidRPr="00F24216">
        <w:rPr>
          <w:b/>
          <w:bCs/>
          <w:sz w:val="28"/>
          <w:szCs w:val="28"/>
        </w:rPr>
        <w:t xml:space="preserve"> </w:t>
      </w:r>
      <w:r w:rsidR="00F24216" w:rsidRPr="00F24216">
        <w:rPr>
          <w:bCs/>
          <w:sz w:val="28"/>
          <w:szCs w:val="28"/>
        </w:rPr>
        <w:t>громади міста Києва цілісних майнових комплексів</w:t>
      </w:r>
      <w:r w:rsidR="008D4879">
        <w:rPr>
          <w:bCs/>
          <w:sz w:val="28"/>
          <w:szCs w:val="28"/>
        </w:rPr>
        <w:t xml:space="preserve"> закладів культури</w:t>
      </w:r>
      <w:r w:rsidR="00A34960" w:rsidRPr="00A34960">
        <w:rPr>
          <w:bCs/>
          <w:sz w:val="28"/>
          <w:szCs w:val="28"/>
        </w:rPr>
        <w:t>»</w:t>
      </w:r>
      <w:r w:rsidR="007142F0">
        <w:rPr>
          <w:bCs/>
          <w:sz w:val="28"/>
          <w:szCs w:val="28"/>
        </w:rPr>
        <w:t xml:space="preserve"> (далі – рішення)</w:t>
      </w:r>
      <w:r w:rsidR="00A34960" w:rsidRPr="00A34960">
        <w:rPr>
          <w:bCs/>
          <w:sz w:val="28"/>
          <w:szCs w:val="28"/>
        </w:rPr>
        <w:t xml:space="preserve"> </w:t>
      </w:r>
      <w:bookmarkStart w:id="0" w:name="7"/>
      <w:r w:rsidR="00CF3B86">
        <w:rPr>
          <w:bCs/>
          <w:sz w:val="28"/>
          <w:szCs w:val="28"/>
        </w:rPr>
        <w:t>н</w:t>
      </w:r>
      <w:r w:rsidR="00CF3B86" w:rsidRPr="00CF3B86">
        <w:rPr>
          <w:bCs/>
          <w:sz w:val="28"/>
          <w:szCs w:val="28"/>
        </w:rPr>
        <w:t>ада</w:t>
      </w:r>
      <w:r w:rsidR="00CF3B86">
        <w:rPr>
          <w:bCs/>
          <w:sz w:val="28"/>
          <w:szCs w:val="28"/>
        </w:rPr>
        <w:t>но</w:t>
      </w:r>
      <w:r w:rsidR="00CF3B86" w:rsidRPr="00CF3B86">
        <w:rPr>
          <w:bCs/>
          <w:sz w:val="28"/>
          <w:szCs w:val="28"/>
        </w:rPr>
        <w:t xml:space="preserve"> згоду на безоплатне прийняття до комунальної власності територіальної громади міста Києва цілісних майнових комплексів </w:t>
      </w:r>
      <w:r w:rsidR="00CF3B86">
        <w:rPr>
          <w:bCs/>
          <w:sz w:val="28"/>
          <w:szCs w:val="28"/>
        </w:rPr>
        <w:t xml:space="preserve">закладів </w:t>
      </w:r>
      <w:r w:rsidR="008D4879">
        <w:rPr>
          <w:bCs/>
          <w:sz w:val="28"/>
          <w:szCs w:val="28"/>
        </w:rPr>
        <w:t>культури</w:t>
      </w:r>
      <w:r w:rsidR="00CF3B86" w:rsidRPr="00CF3B86">
        <w:rPr>
          <w:bCs/>
          <w:sz w:val="28"/>
          <w:szCs w:val="28"/>
        </w:rPr>
        <w:t>, що належать до державної власності</w:t>
      </w:r>
      <w:r w:rsidR="006E2813">
        <w:rPr>
          <w:bCs/>
          <w:sz w:val="28"/>
          <w:szCs w:val="28"/>
        </w:rPr>
        <w:t>,</w:t>
      </w:r>
      <w:r w:rsidR="007C620A">
        <w:rPr>
          <w:bCs/>
          <w:sz w:val="28"/>
          <w:szCs w:val="28"/>
        </w:rPr>
        <w:t xml:space="preserve"> та</w:t>
      </w:r>
      <w:r w:rsidR="00FF267A">
        <w:rPr>
          <w:bCs/>
          <w:sz w:val="28"/>
          <w:szCs w:val="28"/>
        </w:rPr>
        <w:t xml:space="preserve"> </w:t>
      </w:r>
      <w:r w:rsidR="00CF3B86">
        <w:rPr>
          <w:bCs/>
          <w:sz w:val="28"/>
          <w:szCs w:val="28"/>
        </w:rPr>
        <w:t>взято зобов</w:t>
      </w:r>
      <w:r w:rsidR="00CF3B86" w:rsidRPr="00CF3B86">
        <w:rPr>
          <w:bCs/>
          <w:sz w:val="28"/>
          <w:szCs w:val="28"/>
        </w:rPr>
        <w:t>’</w:t>
      </w:r>
      <w:r w:rsidR="00CF3B86">
        <w:rPr>
          <w:bCs/>
          <w:sz w:val="28"/>
          <w:szCs w:val="28"/>
        </w:rPr>
        <w:t>язання використовувати зазначене майно за цільовим призначенням і не відчужувати у приватну власність</w:t>
      </w:r>
      <w:r w:rsidR="007C620A">
        <w:rPr>
          <w:bCs/>
          <w:sz w:val="28"/>
          <w:szCs w:val="28"/>
        </w:rPr>
        <w:t>.</w:t>
      </w:r>
    </w:p>
    <w:p w:rsidR="001508F8" w:rsidRDefault="001508F8" w:rsidP="00CF3B8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опрацюванні документів </w:t>
      </w:r>
      <w:r w:rsidR="006E2813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процесі передачі цілісного майнового комплексу Педагогічного музею України Міністерство економіки України листом від 06 квітня 2024 року № 3213-06/25381-07 повідомило, що у рішенні не зазначено коду ЄДРПОУ</w:t>
      </w:r>
      <w:r w:rsidR="006B7F4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т</w:t>
      </w:r>
      <w:r w:rsidR="006B7F42">
        <w:rPr>
          <w:bCs/>
          <w:sz w:val="28"/>
          <w:szCs w:val="28"/>
        </w:rPr>
        <w:t>ому</w:t>
      </w:r>
      <w:r>
        <w:rPr>
          <w:bCs/>
          <w:sz w:val="28"/>
          <w:szCs w:val="28"/>
        </w:rPr>
        <w:t xml:space="preserve"> рішення потребує доопрацювання в частині зазначення коду згідно з ЄДРПОУ цілісного майнового ком</w:t>
      </w:r>
      <w:r w:rsidR="0001711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лексу з метою чіткої ідентифікації </w:t>
      </w:r>
      <w:r w:rsidR="00017112">
        <w:rPr>
          <w:bCs/>
          <w:sz w:val="28"/>
          <w:szCs w:val="28"/>
        </w:rPr>
        <w:t>об’єкту передачі.</w:t>
      </w:r>
    </w:p>
    <w:p w:rsidR="008D4879" w:rsidRDefault="008D4879" w:rsidP="00CF3B86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додатку до рішення зазначена інформація про назву закладів культури</w:t>
      </w:r>
      <w:r w:rsidR="006E281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їх адресу,</w:t>
      </w:r>
      <w:r w:rsidR="006E2813">
        <w:rPr>
          <w:b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і</w:t>
      </w:r>
      <w:r w:rsidRPr="00677BF8">
        <w:rPr>
          <w:sz w:val="28"/>
          <w:szCs w:val="28"/>
          <w:shd w:val="clear" w:color="auto" w:fill="FFFFFF"/>
        </w:rPr>
        <w:t>дентифікаційний код юридичної особи в Єдиному державному реєстрі підприємств і організацій України</w:t>
      </w:r>
      <w:r w:rsidR="00017112">
        <w:rPr>
          <w:sz w:val="28"/>
          <w:szCs w:val="28"/>
          <w:shd w:val="clear" w:color="auto" w:fill="FFFFFF"/>
        </w:rPr>
        <w:t xml:space="preserve"> відсутня, тому виникла необхідність внесення змін до рішення</w:t>
      </w:r>
      <w:r w:rsidR="006E2813">
        <w:rPr>
          <w:sz w:val="28"/>
          <w:szCs w:val="28"/>
          <w:shd w:val="clear" w:color="auto" w:fill="FFFFFF"/>
        </w:rPr>
        <w:t xml:space="preserve"> </w:t>
      </w:r>
      <w:r w:rsidR="00DA1F58">
        <w:rPr>
          <w:sz w:val="28"/>
          <w:szCs w:val="28"/>
          <w:shd w:val="clear" w:color="auto" w:fill="FFFFFF"/>
        </w:rPr>
        <w:t xml:space="preserve">Київської міської ради </w:t>
      </w:r>
      <w:r w:rsidR="006E2813" w:rsidRPr="00F24216">
        <w:rPr>
          <w:bCs/>
          <w:sz w:val="28"/>
          <w:szCs w:val="28"/>
        </w:rPr>
        <w:t xml:space="preserve">№ </w:t>
      </w:r>
      <w:r w:rsidR="006E2813">
        <w:rPr>
          <w:bCs/>
          <w:sz w:val="28"/>
          <w:szCs w:val="28"/>
        </w:rPr>
        <w:t>945/1949</w:t>
      </w:r>
      <w:r w:rsidR="00017112">
        <w:rPr>
          <w:sz w:val="28"/>
          <w:szCs w:val="28"/>
          <w:shd w:val="clear" w:color="auto" w:fill="FFFFFF"/>
        </w:rPr>
        <w:t>. Крім того</w:t>
      </w:r>
      <w:r w:rsidR="006E2813">
        <w:rPr>
          <w:sz w:val="28"/>
          <w:szCs w:val="28"/>
          <w:shd w:val="clear" w:color="auto" w:fill="FFFFFF"/>
        </w:rPr>
        <w:t>,</w:t>
      </w:r>
      <w:r w:rsidR="00017112">
        <w:rPr>
          <w:sz w:val="28"/>
          <w:szCs w:val="28"/>
          <w:shd w:val="clear" w:color="auto" w:fill="FFFFFF"/>
        </w:rPr>
        <w:t xml:space="preserve"> місцезнаходження певних закладів культури також потребує уточнення. </w:t>
      </w:r>
    </w:p>
    <w:bookmarkEnd w:id="0"/>
    <w:p w:rsidR="00AB5BE9" w:rsidRDefault="00017112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D44E92">
        <w:rPr>
          <w:bCs/>
          <w:sz w:val="28"/>
          <w:szCs w:val="28"/>
        </w:rPr>
        <w:t>ідповідно до вимог статті 7 Закону України «Про передачу об</w:t>
      </w:r>
      <w:r w:rsidR="00D44E92" w:rsidRPr="0057535F">
        <w:rPr>
          <w:bCs/>
          <w:sz w:val="28"/>
          <w:szCs w:val="28"/>
        </w:rPr>
        <w:t>’</w:t>
      </w:r>
      <w:r w:rsidR="00D44E92">
        <w:rPr>
          <w:bCs/>
          <w:sz w:val="28"/>
          <w:szCs w:val="28"/>
        </w:rPr>
        <w:t>єктів права державної та комунальної власності» органи місцевого самоврядування беруть зобов</w:t>
      </w:r>
      <w:r w:rsidR="00D44E92" w:rsidRPr="0057535F">
        <w:rPr>
          <w:bCs/>
          <w:sz w:val="28"/>
          <w:szCs w:val="28"/>
        </w:rPr>
        <w:t>’</w:t>
      </w:r>
      <w:r w:rsidR="00D44E92">
        <w:rPr>
          <w:bCs/>
          <w:sz w:val="28"/>
          <w:szCs w:val="28"/>
        </w:rPr>
        <w:t xml:space="preserve">язання щодо цілісних майнових комплексів </w:t>
      </w:r>
      <w:r>
        <w:rPr>
          <w:bCs/>
          <w:sz w:val="28"/>
          <w:szCs w:val="28"/>
        </w:rPr>
        <w:t xml:space="preserve">(а не майна, як зазначено у абзаці другому пункту 1 рішення) </w:t>
      </w:r>
      <w:r w:rsidR="00D44E92">
        <w:rPr>
          <w:bCs/>
          <w:sz w:val="28"/>
          <w:szCs w:val="28"/>
        </w:rPr>
        <w:t xml:space="preserve">закладів </w:t>
      </w:r>
      <w:r w:rsidR="008D4879">
        <w:rPr>
          <w:bCs/>
          <w:sz w:val="28"/>
          <w:szCs w:val="28"/>
        </w:rPr>
        <w:t xml:space="preserve">культури </w:t>
      </w:r>
      <w:r w:rsidR="00D44E92">
        <w:rPr>
          <w:bCs/>
          <w:sz w:val="28"/>
          <w:szCs w:val="28"/>
        </w:rPr>
        <w:t>використовувати такі об</w:t>
      </w:r>
      <w:r w:rsidR="00D44E92" w:rsidRPr="0057535F">
        <w:rPr>
          <w:bCs/>
          <w:sz w:val="28"/>
          <w:szCs w:val="28"/>
        </w:rPr>
        <w:t>’</w:t>
      </w:r>
      <w:r w:rsidR="00D44E92">
        <w:rPr>
          <w:bCs/>
          <w:sz w:val="28"/>
          <w:szCs w:val="28"/>
        </w:rPr>
        <w:t>єкти за цільовим призначенням і не відчужувати у приватну власність.</w:t>
      </w:r>
    </w:p>
    <w:p w:rsidR="00017112" w:rsidRDefault="00017112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2 рішення необхідно викласти в новій редакції з метою приведення положень рішення до вимог законодавства України. </w:t>
      </w:r>
    </w:p>
    <w:p w:rsidR="00ED7B24" w:rsidRPr="009B66D7" w:rsidRDefault="00ED7B24" w:rsidP="004619AD">
      <w:pPr>
        <w:pStyle w:val="tj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F417D" w:rsidRDefault="00E017A0" w:rsidP="00E01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417D"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="00DF417D" w:rsidRPr="00DF417D">
        <w:rPr>
          <w:rFonts w:ascii="Times New Roman" w:hAnsi="Times New Roman" w:cs="Times New Roman"/>
          <w:b/>
          <w:sz w:val="28"/>
          <w:szCs w:val="28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="00DF417D" w:rsidRPr="00DF417D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="00DF417D" w:rsidRPr="00DF417D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  <w:r w:rsidR="00A859D6">
        <w:rPr>
          <w:rFonts w:ascii="Times New Roman" w:hAnsi="Times New Roman" w:cs="Times New Roman"/>
          <w:b/>
          <w:sz w:val="28"/>
          <w:szCs w:val="28"/>
        </w:rPr>
        <w:t>)</w:t>
      </w:r>
      <w:r w:rsidR="00DF417D" w:rsidRPr="00DF417D">
        <w:rPr>
          <w:rFonts w:ascii="Times New Roman" w:hAnsi="Times New Roman" w:cs="Times New Roman"/>
          <w:b/>
          <w:sz w:val="28"/>
          <w:szCs w:val="28"/>
        </w:rPr>
        <w:t>.</w:t>
      </w:r>
    </w:p>
    <w:p w:rsidR="007523D0" w:rsidRDefault="00116A95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Цивільн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ий кодекс</w:t>
      </w:r>
      <w:r w:rsidR="002E7F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України, з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акон</w:t>
      </w:r>
      <w:r w:rsidR="002E7F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місцеве самоврядування в Україні», «Про передачу об</w:t>
      </w:r>
      <w:r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єктів права державної та комунальної власності»</w:t>
      </w:r>
      <w:r w:rsid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44E92" w:rsidRPr="00D44E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7523D0" w:rsidRPr="00DC7687" w:rsidRDefault="007523D0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:rsidR="00BD471A" w:rsidRPr="00D44E92" w:rsidRDefault="00DC7687" w:rsidP="007250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Метою </w:t>
      </w:r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цього </w:t>
      </w:r>
      <w:proofErr w:type="spellStart"/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E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</w:t>
      </w:r>
      <w:r w:rsidRPr="00CE3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внесення змін до рішення Київської міської ради </w:t>
      </w:r>
      <w:r w:rsidR="00CE3ED8" w:rsidRPr="00CE3ED8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07922">
        <w:rPr>
          <w:rFonts w:ascii="Times New Roman" w:hAnsi="Times New Roman" w:cs="Times New Roman"/>
          <w:bCs/>
          <w:sz w:val="28"/>
          <w:szCs w:val="28"/>
        </w:rPr>
        <w:t>10</w:t>
      </w:r>
      <w:r w:rsidR="00A0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лютого</w:t>
      </w:r>
      <w:r w:rsidR="00CE3ED8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201</w:t>
      </w:r>
      <w:r w:rsidR="00A0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CE3ED8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E3ED8" w:rsidRPr="00CE3ED8">
        <w:rPr>
          <w:rFonts w:ascii="Times New Roman" w:hAnsi="Times New Roman" w:cs="Times New Roman"/>
          <w:bCs/>
          <w:sz w:val="28"/>
          <w:szCs w:val="28"/>
        </w:rPr>
        <w:t xml:space="preserve">року № </w:t>
      </w:r>
      <w:r w:rsidR="00A0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945/1949</w:t>
      </w:r>
      <w:r w:rsidR="00CE3ED8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«Про надання згоди на безоплатне прийняття до комунальної власності територіальної</w:t>
      </w:r>
      <w:r w:rsidR="00CE3ED8" w:rsidRPr="00CE3E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ED8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громади міста Києва цілісних майнових комплексів</w:t>
      </w:r>
      <w:r w:rsidR="00A0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закладів культури</w:t>
      </w:r>
      <w:r w:rsidR="00CE3ED8" w:rsidRPr="00CE3ED8">
        <w:rPr>
          <w:rFonts w:ascii="Times New Roman" w:hAnsi="Times New Roman" w:cs="Times New Roman"/>
          <w:bCs/>
          <w:sz w:val="28"/>
          <w:szCs w:val="28"/>
        </w:rPr>
        <w:t>»</w:t>
      </w:r>
      <w:r w:rsidR="00BD471A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</w:t>
      </w:r>
      <w:r w:rsidR="00DC7C89" w:rsidRPr="00CE3ED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приведення його</w:t>
      </w:r>
      <w:r w:rsidR="00DC7C8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 </w:t>
      </w:r>
      <w:r w:rsidR="00DC7C89" w:rsidRPr="00D44E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відповідність до </w:t>
      </w:r>
      <w:r w:rsidR="00A0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вимог законодавства України.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із преамбули</w:t>
      </w:r>
      <w:r w:rsidR="00E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F5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чотирьох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пунктів.</w:t>
      </w:r>
    </w:p>
    <w:p w:rsidR="00DC7687" w:rsidRPr="00E017A0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r w:rsidRPr="00E017A0">
        <w:rPr>
          <w:rFonts w:ascii="Times New Roman" w:eastAsia="Calibri" w:hAnsi="Times New Roman" w:cs="Times New Roman"/>
          <w:color w:val="000000"/>
          <w:sz w:val="28"/>
          <w:szCs w:val="28"/>
        </w:rPr>
        <w:t>постійну комісію Київської міської ради з питань власност</w:t>
      </w:r>
      <w:r w:rsidR="00E017A0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="00A07922" w:rsidRPr="00E01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r w:rsidR="00E017A0">
        <w:rPr>
          <w:rFonts w:ascii="Times New Roman" w:eastAsia="Calibri" w:hAnsi="Times New Roman" w:cs="Times New Roman"/>
          <w:color w:val="000000"/>
          <w:sz w:val="28"/>
          <w:szCs w:val="28"/>
        </w:rPr>
        <w:t>регуляторної полі</w:t>
      </w:r>
      <w:r w:rsidR="00A07922" w:rsidRPr="00E017A0">
        <w:rPr>
          <w:rFonts w:ascii="Times New Roman" w:eastAsia="Calibri" w:hAnsi="Times New Roman" w:cs="Times New Roman"/>
          <w:color w:val="000000"/>
          <w:sz w:val="28"/>
          <w:szCs w:val="28"/>
        </w:rPr>
        <w:t>тики</w:t>
      </w:r>
      <w:r w:rsidR="00A52B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bookmarkStart w:id="1" w:name="_GoBack"/>
      <w:bookmarkEnd w:id="1"/>
      <w:r w:rsidRPr="00E017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постійну комісію Київської міської ради з питань </w:t>
      </w:r>
      <w:r w:rsidR="00A07922" w:rsidRPr="00E017A0">
        <w:rPr>
          <w:rFonts w:ascii="Times New Roman" w:eastAsia="Calibri" w:hAnsi="Times New Roman" w:cs="Times New Roman"/>
          <w:color w:val="000000"/>
          <w:sz w:val="28"/>
          <w:szCs w:val="28"/>
        </w:rPr>
        <w:t>культури, туризму та суспільних комунікацій</w:t>
      </w:r>
      <w:r w:rsidRPr="00E01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E017A0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AB" w:rsidRPr="003A2AAB" w:rsidRDefault="003A2AAB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 Фінансово-економічне обґрунтування та пропозиції щодо джерел покриття цих витрат.</w:t>
      </w:r>
    </w:p>
    <w:p w:rsidR="005F24E5" w:rsidRDefault="005F24E5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Прийняття та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виконання </w:t>
      </w:r>
      <w:r w:rsidRPr="00300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рішення не потребує </w:t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додаткових матеріально</w:t>
      </w:r>
      <w:r w:rsidR="006E2813">
        <w:rPr>
          <w:rFonts w:ascii="Times New Roman" w:eastAsia="Times New Roman" w:hAnsi="Times New Roman" w:cs="Times New Roman"/>
          <w:sz w:val="28"/>
          <w:szCs w:val="28"/>
          <w:lang w:eastAsia="ar-SA"/>
        </w:rPr>
        <w:noBreakHyphen/>
      </w:r>
      <w:r w:rsidR="00D34601">
        <w:rPr>
          <w:rFonts w:ascii="Times New Roman" w:eastAsia="Times New Roman" w:hAnsi="Times New Roman" w:cs="Times New Roman"/>
          <w:sz w:val="28"/>
          <w:szCs w:val="28"/>
          <w:lang w:eastAsia="ar-SA"/>
        </w:rPr>
        <w:t>фінансових витрат та не впливає на показники бюджету міста Києва.</w:t>
      </w:r>
    </w:p>
    <w:p w:rsidR="00227342" w:rsidRDefault="00227342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342" w:rsidRPr="00227342" w:rsidRDefault="00227342" w:rsidP="00227342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7342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227342">
        <w:rPr>
          <w:rFonts w:ascii="Times New Roman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Pr="00227342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Pr="00227342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службову інформацію у розумінні статті 6 Закону України «Про доступ до публічної інформації»</w:t>
      </w:r>
    </w:p>
    <w:p w:rsidR="00227342" w:rsidRPr="00227342" w:rsidRDefault="00227342" w:rsidP="00227342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7342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27342">
        <w:rPr>
          <w:rFonts w:ascii="Times New Roman" w:eastAsia="Calibri" w:hAnsi="Times New Roman" w:cs="Times New Roman"/>
          <w:sz w:val="28"/>
          <w:szCs w:val="28"/>
        </w:rPr>
        <w:t xml:space="preserve"> рішення не містить службову інформацію у розумінні </w:t>
      </w:r>
      <w:r w:rsidRPr="00227342">
        <w:rPr>
          <w:rFonts w:ascii="Times New Roman" w:eastAsia="Calibri" w:hAnsi="Times New Roman" w:cs="Times New Roman"/>
          <w:sz w:val="28"/>
          <w:szCs w:val="28"/>
        </w:rPr>
        <w:br/>
        <w:t>статті 6 Закону України «Про доступ до публічної інформації».</w:t>
      </w:r>
    </w:p>
    <w:p w:rsidR="007C2477" w:rsidRPr="00300DBA" w:rsidRDefault="007C2477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7342" w:rsidRPr="00227342" w:rsidRDefault="004202FD" w:rsidP="00227342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227342" w:rsidRPr="00227342">
        <w:rPr>
          <w:rFonts w:ascii="Times New Roman" w:hAnsi="Times New Roman" w:cs="Times New Roman"/>
          <w:b/>
          <w:sz w:val="28"/>
          <w:szCs w:val="28"/>
        </w:rPr>
        <w:t xml:space="preserve">Інформація про те, чи містить </w:t>
      </w:r>
      <w:proofErr w:type="spellStart"/>
      <w:r w:rsidR="00227342" w:rsidRPr="00227342">
        <w:rPr>
          <w:rFonts w:ascii="Times New Roman" w:eastAsia="Calibri" w:hAnsi="Times New Roman" w:cs="Times New Roman"/>
          <w:b/>
          <w:sz w:val="28"/>
          <w:szCs w:val="28"/>
        </w:rPr>
        <w:t>проєкт</w:t>
      </w:r>
      <w:proofErr w:type="spellEnd"/>
      <w:r w:rsidR="00227342" w:rsidRPr="00227342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="0022734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27342" w:rsidRDefault="00227342" w:rsidP="00227342">
      <w:pPr>
        <w:spacing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27342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27342">
        <w:rPr>
          <w:rFonts w:ascii="Times New Roman" w:eastAsia="Calibri" w:hAnsi="Times New Roman" w:cs="Times New Roman"/>
          <w:sz w:val="28"/>
          <w:szCs w:val="28"/>
        </w:rPr>
        <w:t xml:space="preserve">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:rsidR="0076249F" w:rsidRPr="0076249F" w:rsidRDefault="0076249F" w:rsidP="0076249F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249F" w:rsidRPr="0076249F" w:rsidRDefault="004202FD" w:rsidP="0076249F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Інформація про те, чи стосується </w:t>
      </w:r>
      <w:proofErr w:type="spellStart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</w:t>
      </w:r>
      <w:proofErr w:type="spellEnd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прав і соціальної захищеності осіб з інвалідністю та який вплив він матиме на життєдіяльність цієї категорії. </w:t>
      </w:r>
    </w:p>
    <w:p w:rsidR="0076249F" w:rsidRPr="0076249F" w:rsidRDefault="0076249F" w:rsidP="002D0E7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Зазначений </w:t>
      </w:r>
      <w:proofErr w:type="spellStart"/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</w:t>
      </w:r>
      <w:proofErr w:type="spellEnd"/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рішення не стосується прав і соціальної захищеності осіб з інвалідністю та не має впливу на життєдіяльність цієї категорії.</w:t>
      </w:r>
    </w:p>
    <w:p w:rsidR="0076249F" w:rsidRPr="0076249F" w:rsidRDefault="0076249F" w:rsidP="002D0E7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6249F" w:rsidRPr="0076249F" w:rsidRDefault="004202FD" w:rsidP="002D0E7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Прізвище або назва суб’єкта подання, прізвище, посада, контактні дані доповідача </w:t>
      </w:r>
      <w:proofErr w:type="spellStart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проєкту</w:t>
      </w:r>
      <w:proofErr w:type="spellEnd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проєкту</w:t>
      </w:r>
      <w:proofErr w:type="spellEnd"/>
      <w:r w:rsidR="0076249F" w:rsidRPr="007624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рішення.</w:t>
      </w:r>
    </w:p>
    <w:p w:rsidR="006E2813" w:rsidRDefault="0076249F" w:rsidP="002D0E7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проєкту</w:t>
      </w:r>
      <w:proofErr w:type="spellEnd"/>
      <w:r w:rsidRPr="007624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94D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рішення є </w:t>
      </w:r>
      <w:r w:rsidR="006E2813">
        <w:rPr>
          <w:rFonts w:ascii="Times New Roman" w:hAnsi="Times New Roman" w:cs="Times New Roman"/>
          <w:color w:val="000000"/>
          <w:sz w:val="28"/>
        </w:rPr>
        <w:t>депутатка Київської міської ради Вікторія МУХА.</w:t>
      </w:r>
    </w:p>
    <w:p w:rsidR="0076249F" w:rsidRPr="00B4577B" w:rsidRDefault="0076249F" w:rsidP="002D0E7D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457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B457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проєкту</w:t>
      </w:r>
      <w:proofErr w:type="spellEnd"/>
      <w:r w:rsidRPr="00B457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</w:t>
      </w:r>
      <w:r w:rsidR="006E281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4577B" w:rsidRPr="00B4577B">
        <w:rPr>
          <w:rFonts w:ascii="Times New Roman" w:hAnsi="Times New Roman" w:cs="Times New Roman"/>
          <w:color w:val="000000"/>
          <w:sz w:val="28"/>
        </w:rPr>
        <w:t>депутатка Київської міської ради – голова постійної комісії Київської міської ради з питань культури, туризму та суспільних комунікацій Вікторія МУХА.</w:t>
      </w:r>
    </w:p>
    <w:p w:rsidR="00010540" w:rsidRPr="0076249F" w:rsidRDefault="00010540" w:rsidP="00F52B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3038" w:rsidRPr="00D30859" w:rsidRDefault="006E2813" w:rsidP="006B7F42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Депутатка Київської міської ради</w:t>
      </w:r>
      <w:r w:rsidR="00FF1962">
        <w:rPr>
          <w:rFonts w:ascii="Times New Roman" w:hAnsi="Times New Roman" w:cs="Times New Roman"/>
          <w:color w:val="000000"/>
          <w:sz w:val="28"/>
        </w:rPr>
        <w:tab/>
      </w:r>
      <w:r w:rsidR="00FF1962">
        <w:rPr>
          <w:rFonts w:ascii="Times New Roman" w:hAnsi="Times New Roman" w:cs="Times New Roman"/>
          <w:color w:val="000000"/>
          <w:sz w:val="28"/>
        </w:rPr>
        <w:tab/>
      </w:r>
      <w:r w:rsidR="00FF1962">
        <w:rPr>
          <w:rFonts w:ascii="Times New Roman" w:hAnsi="Times New Roman" w:cs="Times New Roman"/>
          <w:color w:val="000000"/>
          <w:sz w:val="28"/>
        </w:rPr>
        <w:tab/>
      </w:r>
      <w:r w:rsidR="00FF1962">
        <w:rPr>
          <w:rFonts w:ascii="Times New Roman" w:hAnsi="Times New Roman" w:cs="Times New Roman"/>
          <w:color w:val="000000"/>
          <w:sz w:val="28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               </w:t>
      </w:r>
      <w:r w:rsidR="00863038" w:rsidRPr="00D30859">
        <w:rPr>
          <w:rFonts w:ascii="Times New Roman" w:hAnsi="Times New Roman" w:cs="Times New Roman"/>
          <w:color w:val="000000"/>
          <w:sz w:val="28"/>
        </w:rPr>
        <w:t>Вікторія МУХА</w:t>
      </w:r>
    </w:p>
    <w:p w:rsidR="00863038" w:rsidRPr="00D30859" w:rsidRDefault="00863038" w:rsidP="00F52BD2">
      <w:pPr>
        <w:rPr>
          <w:rFonts w:ascii="Times New Roman" w:hAnsi="Times New Roman" w:cs="Times New Roman"/>
          <w:color w:val="000000"/>
          <w:sz w:val="28"/>
        </w:rPr>
      </w:pPr>
    </w:p>
    <w:sectPr w:rsidR="00863038" w:rsidRPr="00D30859" w:rsidSect="00DA1F58">
      <w:pgSz w:w="11906" w:h="16838"/>
      <w:pgMar w:top="426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67"/>
    <w:rsid w:val="00001A40"/>
    <w:rsid w:val="00010540"/>
    <w:rsid w:val="00017112"/>
    <w:rsid w:val="000476B7"/>
    <w:rsid w:val="0005073B"/>
    <w:rsid w:val="00052769"/>
    <w:rsid w:val="000716D8"/>
    <w:rsid w:val="00077D8F"/>
    <w:rsid w:val="0008533E"/>
    <w:rsid w:val="00086A80"/>
    <w:rsid w:val="000A1589"/>
    <w:rsid w:val="000F3777"/>
    <w:rsid w:val="000F6D9F"/>
    <w:rsid w:val="00110655"/>
    <w:rsid w:val="00116A95"/>
    <w:rsid w:val="00122917"/>
    <w:rsid w:val="001508F8"/>
    <w:rsid w:val="00183129"/>
    <w:rsid w:val="001B10A4"/>
    <w:rsid w:val="001B2050"/>
    <w:rsid w:val="001F3F42"/>
    <w:rsid w:val="001F6628"/>
    <w:rsid w:val="0020445B"/>
    <w:rsid w:val="00206FB2"/>
    <w:rsid w:val="00227342"/>
    <w:rsid w:val="00236DCB"/>
    <w:rsid w:val="002648A2"/>
    <w:rsid w:val="00294940"/>
    <w:rsid w:val="002A396D"/>
    <w:rsid w:val="002C1752"/>
    <w:rsid w:val="002D0E7D"/>
    <w:rsid w:val="002E7F18"/>
    <w:rsid w:val="00300DBA"/>
    <w:rsid w:val="00343C95"/>
    <w:rsid w:val="0037359E"/>
    <w:rsid w:val="00397B1B"/>
    <w:rsid w:val="003A2AAB"/>
    <w:rsid w:val="003B3CDB"/>
    <w:rsid w:val="003C217F"/>
    <w:rsid w:val="003F0FAA"/>
    <w:rsid w:val="003F1E5B"/>
    <w:rsid w:val="004202FD"/>
    <w:rsid w:val="004256FC"/>
    <w:rsid w:val="004619AD"/>
    <w:rsid w:val="0046270A"/>
    <w:rsid w:val="00494FFB"/>
    <w:rsid w:val="004C7E2B"/>
    <w:rsid w:val="004D2C91"/>
    <w:rsid w:val="004D7388"/>
    <w:rsid w:val="004F797C"/>
    <w:rsid w:val="0051356D"/>
    <w:rsid w:val="00541629"/>
    <w:rsid w:val="00555DAA"/>
    <w:rsid w:val="0057535F"/>
    <w:rsid w:val="005764AB"/>
    <w:rsid w:val="00577AA8"/>
    <w:rsid w:val="00581F35"/>
    <w:rsid w:val="00583207"/>
    <w:rsid w:val="005A3E62"/>
    <w:rsid w:val="005E3DA8"/>
    <w:rsid w:val="005F00BE"/>
    <w:rsid w:val="005F24E5"/>
    <w:rsid w:val="00693022"/>
    <w:rsid w:val="006952BA"/>
    <w:rsid w:val="006A5491"/>
    <w:rsid w:val="006B58C5"/>
    <w:rsid w:val="006B7F42"/>
    <w:rsid w:val="006C0A8C"/>
    <w:rsid w:val="006D400C"/>
    <w:rsid w:val="006E2813"/>
    <w:rsid w:val="0070632D"/>
    <w:rsid w:val="007142F0"/>
    <w:rsid w:val="0072505A"/>
    <w:rsid w:val="00727D2E"/>
    <w:rsid w:val="00737120"/>
    <w:rsid w:val="007523D0"/>
    <w:rsid w:val="00760B2E"/>
    <w:rsid w:val="0076249F"/>
    <w:rsid w:val="00777ECD"/>
    <w:rsid w:val="00791CD8"/>
    <w:rsid w:val="00795C11"/>
    <w:rsid w:val="007C2477"/>
    <w:rsid w:val="007C620A"/>
    <w:rsid w:val="007E07AF"/>
    <w:rsid w:val="008046F1"/>
    <w:rsid w:val="0083149F"/>
    <w:rsid w:val="00845F71"/>
    <w:rsid w:val="00846386"/>
    <w:rsid w:val="00863038"/>
    <w:rsid w:val="008D4879"/>
    <w:rsid w:val="008F40C0"/>
    <w:rsid w:val="0091510A"/>
    <w:rsid w:val="00941711"/>
    <w:rsid w:val="009702CE"/>
    <w:rsid w:val="009723EA"/>
    <w:rsid w:val="009A1299"/>
    <w:rsid w:val="009B66D7"/>
    <w:rsid w:val="009E66C0"/>
    <w:rsid w:val="009F5862"/>
    <w:rsid w:val="00A07922"/>
    <w:rsid w:val="00A2328B"/>
    <w:rsid w:val="00A34960"/>
    <w:rsid w:val="00A47707"/>
    <w:rsid w:val="00A52B4E"/>
    <w:rsid w:val="00A77B5F"/>
    <w:rsid w:val="00A859D6"/>
    <w:rsid w:val="00A939A6"/>
    <w:rsid w:val="00A94DB8"/>
    <w:rsid w:val="00AB5BE9"/>
    <w:rsid w:val="00AB77EF"/>
    <w:rsid w:val="00AC3336"/>
    <w:rsid w:val="00AE1265"/>
    <w:rsid w:val="00AF0654"/>
    <w:rsid w:val="00B4577B"/>
    <w:rsid w:val="00B74ACB"/>
    <w:rsid w:val="00B75798"/>
    <w:rsid w:val="00B85385"/>
    <w:rsid w:val="00BB4004"/>
    <w:rsid w:val="00BC4173"/>
    <w:rsid w:val="00BD02E5"/>
    <w:rsid w:val="00BD471A"/>
    <w:rsid w:val="00BE7096"/>
    <w:rsid w:val="00C04D30"/>
    <w:rsid w:val="00C16873"/>
    <w:rsid w:val="00C24992"/>
    <w:rsid w:val="00C9527A"/>
    <w:rsid w:val="00CD4D04"/>
    <w:rsid w:val="00CD62A1"/>
    <w:rsid w:val="00CE3ED8"/>
    <w:rsid w:val="00CF3B86"/>
    <w:rsid w:val="00D14432"/>
    <w:rsid w:val="00D34601"/>
    <w:rsid w:val="00D4054F"/>
    <w:rsid w:val="00D44E92"/>
    <w:rsid w:val="00D50188"/>
    <w:rsid w:val="00D50833"/>
    <w:rsid w:val="00D630FE"/>
    <w:rsid w:val="00DA1F58"/>
    <w:rsid w:val="00DC7687"/>
    <w:rsid w:val="00DC7C89"/>
    <w:rsid w:val="00DF417D"/>
    <w:rsid w:val="00DF4DD7"/>
    <w:rsid w:val="00E017A0"/>
    <w:rsid w:val="00E11282"/>
    <w:rsid w:val="00E2153E"/>
    <w:rsid w:val="00E672AD"/>
    <w:rsid w:val="00E704C0"/>
    <w:rsid w:val="00E924D0"/>
    <w:rsid w:val="00EA00B4"/>
    <w:rsid w:val="00EA4D16"/>
    <w:rsid w:val="00ED7B24"/>
    <w:rsid w:val="00F02967"/>
    <w:rsid w:val="00F22424"/>
    <w:rsid w:val="00F24216"/>
    <w:rsid w:val="00F42BB3"/>
    <w:rsid w:val="00F52BD2"/>
    <w:rsid w:val="00F5418F"/>
    <w:rsid w:val="00F9160C"/>
    <w:rsid w:val="00FD33F6"/>
    <w:rsid w:val="00FF1962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33A9"/>
  <w15:docId w15:val="{ED226CD8-CA61-4C5F-BA92-1CA9809A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59E7-B010-4F1F-B4FA-988A15C9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3402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Ігнатенко Тетяна Іванівна</cp:lastModifiedBy>
  <cp:revision>33</cp:revision>
  <cp:lastPrinted>2024-10-04T10:57:00Z</cp:lastPrinted>
  <dcterms:created xsi:type="dcterms:W3CDTF">2024-05-09T08:43:00Z</dcterms:created>
  <dcterms:modified xsi:type="dcterms:W3CDTF">2024-10-04T11:00:00Z</dcterms:modified>
</cp:coreProperties>
</file>