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8B" w:rsidRPr="004D1523" w:rsidRDefault="0039448B" w:rsidP="00527E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39448B" w:rsidRPr="004D1523" w:rsidRDefault="0039448B" w:rsidP="00527E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проєкту рішення Київської міської ради</w:t>
      </w:r>
    </w:p>
    <w:p w:rsidR="0039448B" w:rsidRPr="004D1523" w:rsidRDefault="0039448B" w:rsidP="00527E10">
      <w:pPr>
        <w:tabs>
          <w:tab w:val="left" w:pos="963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46FFD"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</w:t>
      </w:r>
      <w:r w:rsidR="0011359C"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E46FFD"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536AE2"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B74481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E46FFD"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536AE2"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E46FFD" w:rsidRPr="004D15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роки»</w:t>
      </w:r>
    </w:p>
    <w:p w:rsidR="0039448B" w:rsidRPr="004D1523" w:rsidRDefault="0039448B" w:rsidP="00005A68">
      <w:pPr>
        <w:tabs>
          <w:tab w:val="left" w:pos="9639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448B" w:rsidRPr="004D1523" w:rsidRDefault="00C53CB0" w:rsidP="00005A68">
      <w:pPr>
        <w:pStyle w:val="a3"/>
        <w:tabs>
          <w:tab w:val="left" w:pos="1134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1. </w:t>
      </w:r>
      <w:r w:rsidR="0039448B" w:rsidRPr="004D152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Обґрунтування необхідності прийняття рішення.</w:t>
      </w:r>
    </w:p>
    <w:p w:rsidR="00536AE2" w:rsidRPr="004D1523" w:rsidRDefault="007F0464" w:rsidP="00005A68">
      <w:pPr>
        <w:tabs>
          <w:tab w:val="left" w:pos="1134"/>
        </w:tabs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Департамент муніципальної безпеки виконавчого органу Київської міської ради (Київської міської державної адміністрації)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виконання Розпорядження Київського міського голови В. Кличка від 05 травня 2023 року № 356 «Про підготовку проєкту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2024–2025 роки» (далі – Програма) розробив проєкт зазначеної Програми.</w:t>
      </w:r>
    </w:p>
    <w:p w:rsidR="004D1523" w:rsidRPr="004D1523" w:rsidRDefault="007F0464" w:rsidP="00005A68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Ураховуючи тривалу збройну агресію з боку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осійської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едерації проти України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залишається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нагальна потреба щодо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фінансування 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заходів із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розвитку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територіальної підсистеми міста Києва Єдиної державної системи цивільного захисту 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її </w:t>
      </w:r>
      <w:r w:rsidR="00536AE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готовності до дій за призначенням 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підвищення рівня цивільного захисту міста.</w:t>
      </w:r>
    </w:p>
    <w:p w:rsidR="004D1523" w:rsidRPr="004D1523" w:rsidRDefault="004D1523" w:rsidP="004D1523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Актуальність проблеми забезпечення цивільного захисту населення і територій в разі виникнення надзвичайних ситуацій зумовлена тенденціями можливого зростання обсягів людських втрат і матеріальної шкоди, яка може бути завдана.</w:t>
      </w:r>
    </w:p>
    <w:p w:rsidR="00970DC0" w:rsidRPr="004D1523" w:rsidRDefault="007F0464" w:rsidP="007F046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проєкті</w:t>
      </w:r>
      <w:proofErr w:type="spellEnd"/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пропонується виділення коштів на </w:t>
      </w:r>
      <w:r w:rsidR="00922A0F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виконання заходів цивільного захисту у 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4–2025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</w:t>
      </w:r>
      <w:r w:rsidR="00922A0F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ах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напрямк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и:</w:t>
      </w:r>
    </w:p>
    <w:p w:rsidR="007F0464" w:rsidRPr="004D1523" w:rsidRDefault="00922A0F" w:rsidP="007F046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 </w:t>
      </w:r>
      <w:r w:rsidR="00970DC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запобігання виникненню надзвичайних ситуацій техногенного та природного характеру та захисту населення і територій міста Києва у разі їх виникнення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970DC0" w:rsidRPr="004D1523" w:rsidRDefault="00922A0F" w:rsidP="007F046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 пожежна безпека;</w:t>
      </w:r>
    </w:p>
    <w:p w:rsidR="00970DC0" w:rsidRPr="004D1523" w:rsidRDefault="00922A0F" w:rsidP="007F046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 технічне переоснащення, перспективний та соціальний розвиток комунальної аварійно-рятувальної служби «Київська служба порятунку»;</w:t>
      </w:r>
    </w:p>
    <w:p w:rsidR="00922A0F" w:rsidRPr="004D1523" w:rsidRDefault="00922A0F" w:rsidP="00922A0F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 забезпечення територіальних формувань та територіальних спеціалізованих служб цивільного захисту.</w:t>
      </w:r>
    </w:p>
    <w:p w:rsidR="00922A0F" w:rsidRPr="004D1523" w:rsidRDefault="00922A0F" w:rsidP="00922A0F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Ресурсне забезпечення</w:t>
      </w:r>
      <w:r w:rsidR="004D1523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цільової програми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розвитку </w:t>
      </w:r>
      <w:r w:rsidR="004D1523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готовності до дій за призначенням територіальної підсистеми міста Києва Єдиної державної системи цивільного захисту на 2024–2025 роки</w:t>
      </w:r>
      <w:r w:rsid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передбачається з бюджету м</w:t>
      </w:r>
      <w:r w:rsidR="001421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іста</w:t>
      </w:r>
      <w:r w:rsid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Києва і 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складає</w:t>
      </w:r>
      <w:r w:rsid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D15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1 197 362,96</w:t>
      </w:r>
      <w:r w:rsidR="004D15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4D15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тис. грн</w:t>
      </w:r>
      <w:r w:rsidR="001421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F0464" w:rsidRPr="004D1523" w:rsidRDefault="007F0464" w:rsidP="007F0464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39448B" w:rsidRPr="004D1523" w:rsidRDefault="00C53CB0" w:rsidP="00C53CB0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2. </w:t>
      </w:r>
      <w:r w:rsidR="0039448B" w:rsidRPr="004D152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рішення.</w:t>
      </w:r>
    </w:p>
    <w:p w:rsidR="0039448B" w:rsidRPr="004D1523" w:rsidRDefault="0039448B" w:rsidP="00527E1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Проєкт рішення Київської міської ради пропонується ухвалити у відповідності </w:t>
      </w:r>
      <w:r w:rsidR="00A747AD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Бюджетного кодексу України, Кодексу цивільного захисту України, пункту 22 частини першої статті 26 Закону України «Про місцеве самоврядування в Україні», законів України «Про столицю України – місто-герой Київ», «Про правовий режим воєнного стану», Указу Президента України </w:t>
      </w:r>
      <w:r w:rsidR="00A747AD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обов'язок і військову службу», «Про правовий режим надзвичайного стану», «Про</w:t>
      </w:r>
      <w:r w:rsidR="00813CEA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режим воєнного стану»</w:t>
      </w:r>
      <w:r w:rsidR="00527E1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метою забезпечення вирішення комплексу завдань щодо запобігання виникненню надзвичайних ситуацій техногенного та природного характеру, а також забезпечення стабільного функціонування територіальної підсистеми</w:t>
      </w:r>
      <w:r w:rsidR="004D1523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міста Києва</w:t>
      </w:r>
      <w:r w:rsidR="00527E10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Єдиної державної системи цивільного захисту під час дії воєнного стану</w:t>
      </w:r>
      <w:r w:rsidR="00813CEA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9448B" w:rsidRPr="004D1523" w:rsidRDefault="0039448B" w:rsidP="00527E10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39448B" w:rsidRPr="004D1523" w:rsidRDefault="00C53CB0" w:rsidP="00C53CB0">
      <w:pPr>
        <w:pStyle w:val="a3"/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3. </w:t>
      </w:r>
      <w:r w:rsidR="0039448B" w:rsidRPr="004D152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Мета і завдання прийняття рішення.</w:t>
      </w:r>
    </w:p>
    <w:p w:rsidR="0039448B" w:rsidRPr="004D1523" w:rsidRDefault="0039448B" w:rsidP="00527E10">
      <w:pPr>
        <w:pStyle w:val="a3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Проєкт рішення Київської міської ради підготовлено </w:t>
      </w:r>
      <w:r w:rsidR="00A747AD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підвищення соціально-гарантованого рівня захисту киян та гостей столиці, об’єктів та території міста Києва від наслідків надзвичайних ситуацій, </w:t>
      </w:r>
      <w:r w:rsidR="00C87B2A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шляхом </w:t>
      </w:r>
      <w:r w:rsidR="00A747AD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виріш</w:t>
      </w:r>
      <w:r w:rsidR="00C87B2A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ення</w:t>
      </w:r>
      <w:r w:rsidR="00A747AD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питання </w:t>
      </w:r>
      <w:r w:rsidR="0014212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готовності до дій за призначенням територіальної підсистеми міста Києва Єдиної державної системи цивільного захисту</w:t>
      </w:r>
      <w:r w:rsidR="00A747AD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87B2A" w:rsidRPr="004D1523" w:rsidRDefault="00C87B2A" w:rsidP="00527E10">
      <w:pPr>
        <w:pStyle w:val="a3"/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9448B" w:rsidRPr="004D1523" w:rsidRDefault="00C53CB0" w:rsidP="00C53CB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4. </w:t>
      </w:r>
      <w:r w:rsidR="0039448B" w:rsidRPr="004D152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Фінансово-економічне обґрунтування та пропозиції щодо джерел покриття цих витрат.</w:t>
      </w:r>
      <w:r w:rsidR="0039448B" w:rsidRPr="004D15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448B" w:rsidRDefault="0039448B" w:rsidP="00527E10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Реалізація запропонованого проекту рішення здійснюватиметься </w:t>
      </w:r>
      <w:r w:rsidR="00C22BF4" w:rsidRPr="004D1523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з бюджету міста Києва.</w:t>
      </w:r>
    </w:p>
    <w:p w:rsidR="00142122" w:rsidRDefault="00142122" w:rsidP="00527E10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21"/>
        <w:gridCol w:w="2398"/>
        <w:gridCol w:w="2398"/>
        <w:gridCol w:w="2412"/>
      </w:tblGrid>
      <w:tr w:rsidR="00142122" w:rsidRPr="00081904" w:rsidTr="00C15E04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22" w:rsidRPr="00142122" w:rsidRDefault="00142122" w:rsidP="00C15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Обсяг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коштів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які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пропонується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залучити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виконання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22" w:rsidRPr="00142122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Обсяг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ресурсів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(тис.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грн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) по роках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142122" w:rsidRDefault="00142122" w:rsidP="00C15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Усього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витрат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виконання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(тис.</w:t>
            </w: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грн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)</w:t>
            </w:r>
          </w:p>
        </w:tc>
      </w:tr>
      <w:tr w:rsidR="00142122" w:rsidRPr="00EC5A81" w:rsidTr="00C15E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142122" w:rsidRDefault="00142122" w:rsidP="00C15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42122" w:rsidRPr="00EC5A81" w:rsidTr="00C15E0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22" w:rsidRPr="00142122" w:rsidRDefault="00142122" w:rsidP="00C15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Обсяг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ресурсів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усього</w:t>
            </w:r>
            <w:proofErr w:type="spellEnd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</w:p>
          <w:p w:rsidR="00142122" w:rsidRPr="00142122" w:rsidRDefault="00142122" w:rsidP="00C15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у тому </w:t>
            </w:r>
            <w:proofErr w:type="spellStart"/>
            <w:r w:rsidRPr="001421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числі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674 275,99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523 086,97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1 197 362,96</w:t>
            </w:r>
          </w:p>
        </w:tc>
      </w:tr>
      <w:tr w:rsidR="00142122" w:rsidRPr="00EC5A81" w:rsidTr="00C15E0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22" w:rsidRPr="00EC5A81" w:rsidRDefault="00142122" w:rsidP="00C15E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</w:t>
            </w:r>
            <w:proofErr w:type="spellEnd"/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</w:t>
            </w:r>
            <w:proofErr w:type="spellStart"/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Києва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674 275,99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523 086,97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22" w:rsidRPr="00EC5A81" w:rsidRDefault="00142122" w:rsidP="00C15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5A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1 197 362,96</w:t>
            </w:r>
          </w:p>
        </w:tc>
      </w:tr>
    </w:tbl>
    <w:p w:rsidR="00142122" w:rsidRDefault="00142122" w:rsidP="00005A68">
      <w:pPr>
        <w:ind w:firstLine="851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</w:p>
    <w:p w:rsidR="002F3CFB" w:rsidRDefault="00B110FC" w:rsidP="00005A68">
      <w:pPr>
        <w:ind w:firstLine="851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Для </w:t>
      </w:r>
      <w:r w:rsidR="00142122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готовності до дій за призначенням територіальної підсистеми міста Києва Єдиної державної системи цивільного захисту</w:t>
      </w:r>
      <w:r w:rsidRPr="004D1523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необхідно </w:t>
      </w:r>
      <w:r w:rsidR="00142122" w:rsidRPr="00B744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142122" w:rsidRPr="00EC5A8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42122" w:rsidRPr="00B744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197</w:t>
      </w:r>
      <w:r w:rsidR="00142122" w:rsidRPr="00EC5A8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42122" w:rsidRPr="00B744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362,96</w:t>
      </w:r>
      <w:r w:rsidR="001421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1523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тис. грн.</w:t>
      </w:r>
    </w:p>
    <w:p w:rsidR="00005A68" w:rsidRPr="004D1523" w:rsidRDefault="00005A68" w:rsidP="00005A68">
      <w:pPr>
        <w:ind w:firstLine="851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</w:p>
    <w:p w:rsidR="00C53CB0" w:rsidRPr="00C53CB0" w:rsidRDefault="00C53CB0" w:rsidP="00005A68">
      <w:pPr>
        <w:pStyle w:val="a3"/>
        <w:tabs>
          <w:tab w:val="left" w:pos="1134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5. </w:t>
      </w:r>
      <w:r w:rsidRPr="00C53C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Інформація про те, чи стосується проєкт рішення прав і соціальної захищеності осіб з інвалідністю </w:t>
      </w:r>
    </w:p>
    <w:p w:rsidR="00C53CB0" w:rsidRDefault="00081904" w:rsidP="00005A68">
      <w:pPr>
        <w:pStyle w:val="a3"/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0649DC" w:rsidRDefault="000649DC" w:rsidP="00005A68">
      <w:pPr>
        <w:pStyle w:val="a3"/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CB0" w:rsidRPr="00C53CB0" w:rsidRDefault="00C53CB0" w:rsidP="00005A68">
      <w:pPr>
        <w:pStyle w:val="a3"/>
        <w:tabs>
          <w:tab w:val="left" w:pos="1134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6. </w:t>
      </w:r>
      <w:proofErr w:type="spellStart"/>
      <w:r w:rsidRPr="00C53CB0">
        <w:rPr>
          <w:rFonts w:ascii="Times New Roman" w:hAnsi="Times New Roman"/>
          <w:b/>
          <w:color w:val="000000"/>
          <w:sz w:val="28"/>
          <w:szCs w:val="28"/>
          <w:lang w:val="ru-RU"/>
        </w:rPr>
        <w:t>Інформація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 те,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чи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містить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проєкт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рішення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інформацію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обмеженим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доступом у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розумінні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статті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6 Закону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України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«Про доступ до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публічної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інформації</w:t>
      </w:r>
      <w:proofErr w:type="spellEnd"/>
      <w:r w:rsidRPr="00C53CB0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C53CB0" w:rsidRPr="00C53CB0" w:rsidRDefault="00C53CB0" w:rsidP="00005A68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C53C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C53C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r w:rsidR="004768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Київської міської ради </w:t>
      </w:r>
      <w:bookmarkStart w:id="0" w:name="_GoBack"/>
      <w:bookmarkEnd w:id="0"/>
      <w:r w:rsidRPr="00C53C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 містить інформації з обмеженим доступом у розумінні статті 6 Закону України «Про доступ до публічної інформації».</w:t>
      </w:r>
    </w:p>
    <w:p w:rsidR="00C22BF4" w:rsidRPr="004D1523" w:rsidRDefault="00C22BF4" w:rsidP="00005A68">
      <w:pPr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39448B" w:rsidRPr="004D1523" w:rsidRDefault="00C53CB0" w:rsidP="00005A68">
      <w:pPr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7</w:t>
      </w:r>
      <w:r w:rsidR="0039448B" w:rsidRPr="004D152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та доповідач.</w:t>
      </w:r>
    </w:p>
    <w:p w:rsidR="0039448B" w:rsidRPr="004D1523" w:rsidRDefault="0039448B" w:rsidP="00005A68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Суб’єктом подання проекту рішення є </w:t>
      </w:r>
      <w:r w:rsidR="00E25C46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міського голови </w:t>
      </w:r>
      <w:r w:rsidR="00813CEA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E25C46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секретар Київської міської ради 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Бондаренко Володимир</w:t>
      </w:r>
      <w:r w:rsidR="00E25C46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Володимирович.</w:t>
      </w:r>
    </w:p>
    <w:p w:rsidR="0039448B" w:rsidRPr="004D1523" w:rsidRDefault="0039448B" w:rsidP="00005A68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Особою, відповідальною за супроводження проекту рішення та доповідачем проекту рішення на пленарному засіданні є </w:t>
      </w:r>
      <w:r w:rsidR="00E25C46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міського голови </w:t>
      </w:r>
      <w:r w:rsidR="00971A78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E25C46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секретар Київської міської ради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Бондаренко Володимир Володимирович або директор</w:t>
      </w:r>
      <w:r w:rsidR="00B110FC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Департаменту муніципальної безпеки виконавчого органу Київської міської ради (Київської міської державної адміністрації) </w:t>
      </w:r>
      <w:r w:rsidR="001421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Ткачук Роман Станіславович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71A78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="00F74E0C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онтактний номер телефону </w:t>
      </w:r>
      <w:r w:rsidR="001421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050 332-66-25</w:t>
      </w:r>
      <w:r w:rsidR="00971A78"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4D152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9448B" w:rsidRPr="004D1523" w:rsidRDefault="0039448B" w:rsidP="00527E10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22BF4" w:rsidRPr="004D1523" w:rsidRDefault="00C22BF4" w:rsidP="00527E10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1523">
        <w:rPr>
          <w:rFonts w:ascii="Times New Roman" w:hAnsi="Times New Roman"/>
          <w:sz w:val="28"/>
          <w:szCs w:val="28"/>
          <w:lang w:val="uk-UA"/>
        </w:rPr>
        <w:t>Заступник міського голови –</w:t>
      </w:r>
    </w:p>
    <w:p w:rsidR="0039448B" w:rsidRPr="004D1523" w:rsidRDefault="00C22BF4" w:rsidP="00527E10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1523">
        <w:rPr>
          <w:rFonts w:ascii="Times New Roman" w:hAnsi="Times New Roman"/>
          <w:sz w:val="28"/>
          <w:szCs w:val="28"/>
          <w:lang w:val="uk-UA"/>
        </w:rPr>
        <w:t>секретар Київської міської ради</w:t>
      </w:r>
      <w:r w:rsidR="0039448B" w:rsidRPr="004D1523">
        <w:rPr>
          <w:rFonts w:ascii="Times New Roman" w:hAnsi="Times New Roman"/>
          <w:sz w:val="28"/>
          <w:szCs w:val="28"/>
          <w:lang w:val="uk-UA"/>
        </w:rPr>
        <w:t xml:space="preserve">                                      Володимир БОНДАРЕНКО</w:t>
      </w:r>
    </w:p>
    <w:sectPr w:rsidR="0039448B" w:rsidRPr="004D1523" w:rsidSect="00B110FC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317"/>
    <w:multiLevelType w:val="hybridMultilevel"/>
    <w:tmpl w:val="C7685B96"/>
    <w:lvl w:ilvl="0" w:tplc="18F48E12">
      <w:start w:val="1"/>
      <w:numFmt w:val="decimal"/>
      <w:lvlText w:val="%1."/>
      <w:lvlJc w:val="left"/>
      <w:pPr>
        <w:ind w:left="80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821B1"/>
    <w:multiLevelType w:val="hybridMultilevel"/>
    <w:tmpl w:val="E38E3CAC"/>
    <w:lvl w:ilvl="0" w:tplc="B1A4608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AFC0968"/>
    <w:multiLevelType w:val="hybridMultilevel"/>
    <w:tmpl w:val="2F682548"/>
    <w:lvl w:ilvl="0" w:tplc="27AE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34"/>
    <w:rsid w:val="00005A68"/>
    <w:rsid w:val="00015DD1"/>
    <w:rsid w:val="00051D2D"/>
    <w:rsid w:val="000649DC"/>
    <w:rsid w:val="00077CAF"/>
    <w:rsid w:val="00081904"/>
    <w:rsid w:val="00081BC8"/>
    <w:rsid w:val="0008456D"/>
    <w:rsid w:val="00096A4E"/>
    <w:rsid w:val="000C5288"/>
    <w:rsid w:val="0011359C"/>
    <w:rsid w:val="001247B6"/>
    <w:rsid w:val="00142122"/>
    <w:rsid w:val="0017043F"/>
    <w:rsid w:val="00171A9E"/>
    <w:rsid w:val="001C57B1"/>
    <w:rsid w:val="001E21D3"/>
    <w:rsid w:val="00274DA5"/>
    <w:rsid w:val="002856C3"/>
    <w:rsid w:val="002A4F1C"/>
    <w:rsid w:val="002F3CFB"/>
    <w:rsid w:val="0039448B"/>
    <w:rsid w:val="00395AF3"/>
    <w:rsid w:val="003B2F14"/>
    <w:rsid w:val="003D5F74"/>
    <w:rsid w:val="00421C21"/>
    <w:rsid w:val="004675E1"/>
    <w:rsid w:val="00476852"/>
    <w:rsid w:val="004A563F"/>
    <w:rsid w:val="004B721F"/>
    <w:rsid w:val="004D1523"/>
    <w:rsid w:val="004E34AC"/>
    <w:rsid w:val="004F4232"/>
    <w:rsid w:val="00511354"/>
    <w:rsid w:val="00527E10"/>
    <w:rsid w:val="00536AE2"/>
    <w:rsid w:val="00580F29"/>
    <w:rsid w:val="006710EE"/>
    <w:rsid w:val="00686DC3"/>
    <w:rsid w:val="006904ED"/>
    <w:rsid w:val="00690A07"/>
    <w:rsid w:val="006B1B14"/>
    <w:rsid w:val="00750009"/>
    <w:rsid w:val="0076553C"/>
    <w:rsid w:val="0079143F"/>
    <w:rsid w:val="007C1A52"/>
    <w:rsid w:val="007F0464"/>
    <w:rsid w:val="008009AD"/>
    <w:rsid w:val="00813CEA"/>
    <w:rsid w:val="008D5D97"/>
    <w:rsid w:val="008F5B45"/>
    <w:rsid w:val="00902C71"/>
    <w:rsid w:val="00922A0F"/>
    <w:rsid w:val="00970DC0"/>
    <w:rsid w:val="00971A78"/>
    <w:rsid w:val="00980AE8"/>
    <w:rsid w:val="00987843"/>
    <w:rsid w:val="009C7623"/>
    <w:rsid w:val="009D7381"/>
    <w:rsid w:val="00A471A7"/>
    <w:rsid w:val="00A501E6"/>
    <w:rsid w:val="00A667D6"/>
    <w:rsid w:val="00A747AD"/>
    <w:rsid w:val="00A8341B"/>
    <w:rsid w:val="00AF2ADC"/>
    <w:rsid w:val="00B110FC"/>
    <w:rsid w:val="00B425B8"/>
    <w:rsid w:val="00B74481"/>
    <w:rsid w:val="00B76515"/>
    <w:rsid w:val="00B8607D"/>
    <w:rsid w:val="00B954A9"/>
    <w:rsid w:val="00BA245A"/>
    <w:rsid w:val="00BB33D0"/>
    <w:rsid w:val="00C02297"/>
    <w:rsid w:val="00C13498"/>
    <w:rsid w:val="00C22BF4"/>
    <w:rsid w:val="00C53CB0"/>
    <w:rsid w:val="00C63990"/>
    <w:rsid w:val="00C67034"/>
    <w:rsid w:val="00C87B2A"/>
    <w:rsid w:val="00CD5EB5"/>
    <w:rsid w:val="00CD7785"/>
    <w:rsid w:val="00D91CC8"/>
    <w:rsid w:val="00D9763E"/>
    <w:rsid w:val="00DB3526"/>
    <w:rsid w:val="00DC4254"/>
    <w:rsid w:val="00DC47B5"/>
    <w:rsid w:val="00DE4657"/>
    <w:rsid w:val="00E25C46"/>
    <w:rsid w:val="00E40AEA"/>
    <w:rsid w:val="00E46FFD"/>
    <w:rsid w:val="00F41901"/>
    <w:rsid w:val="00F5055F"/>
    <w:rsid w:val="00F53CCA"/>
    <w:rsid w:val="00F74E0C"/>
    <w:rsid w:val="00FD1652"/>
    <w:rsid w:val="00FD6D8F"/>
    <w:rsid w:val="00FD71EB"/>
    <w:rsid w:val="00FE0A03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9F97-EA6E-4B3C-B6E4-F911A9F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8B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04E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7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47B6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uiPriority w:val="39"/>
    <w:rsid w:val="00922A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3831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Grushecka</cp:lastModifiedBy>
  <cp:revision>15</cp:revision>
  <cp:lastPrinted>2023-11-15T08:32:00Z</cp:lastPrinted>
  <dcterms:created xsi:type="dcterms:W3CDTF">2023-02-28T08:21:00Z</dcterms:created>
  <dcterms:modified xsi:type="dcterms:W3CDTF">2023-11-15T10:01:00Z</dcterms:modified>
</cp:coreProperties>
</file>