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90E6" w14:textId="296720FD" w:rsidR="008C4BB1" w:rsidRDefault="006457A6" w:rsidP="008C4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C4BB1">
        <w:rPr>
          <w:rFonts w:ascii="Times New Roman" w:hAnsi="Times New Roman" w:cs="Times New Roman"/>
          <w:b/>
          <w:sz w:val="32"/>
          <w:szCs w:val="32"/>
          <w:lang w:val="uk-UA"/>
        </w:rPr>
        <w:t>Порівняльна</w:t>
      </w:r>
      <w:r w:rsidRPr="008C4BB1">
        <w:rPr>
          <w:b/>
          <w:sz w:val="32"/>
          <w:szCs w:val="32"/>
        </w:rPr>
        <w:t xml:space="preserve"> </w:t>
      </w:r>
      <w:r w:rsidRPr="008C4B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таблиця </w:t>
      </w:r>
    </w:p>
    <w:p w14:paraId="746950CA" w14:textId="77777777" w:rsidR="005671B8" w:rsidRDefault="005671B8" w:rsidP="008C4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32B0E8F" w14:textId="37AEB0A6" w:rsidR="00D31FC1" w:rsidRDefault="006457A6" w:rsidP="00D76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BB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C4BB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C4B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658" w:rsidRPr="00D761B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</w:t>
      </w:r>
      <w:r w:rsidR="00AE3BCB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86F" w:rsidRPr="00D761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>Про внесення змін у додаток 4 до рішення Київської міської ради від                      15 грудня 2022 року № 5907/5948 «Про безоплатне прийняття до комунальної власності територіальної громади міста Києва гуртожитку та зовнішніх інженерних мереж ПрАТ «АТЕК» та внесення змін у додаток до рішення Київської міської ради від 24 травня 2012 року № 596/7933 «Про приватизацію жилих приміщень у гуртожитках м. Києва»</w:t>
      </w:r>
    </w:p>
    <w:p w14:paraId="4AD28FFB" w14:textId="77777777" w:rsidR="005671B8" w:rsidRPr="008C4BB1" w:rsidRDefault="005671B8" w:rsidP="008C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97"/>
        <w:gridCol w:w="7796"/>
      </w:tblGrid>
      <w:tr w:rsidR="00960BB6" w14:paraId="35785E2F" w14:textId="77777777" w:rsidTr="008C4BB1">
        <w:tc>
          <w:tcPr>
            <w:tcW w:w="7797" w:type="dxa"/>
          </w:tcPr>
          <w:p w14:paraId="15DA4810" w14:textId="77777777" w:rsidR="00960BB6" w:rsidRPr="008C4BB1" w:rsidRDefault="00960BB6" w:rsidP="0001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4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Чинна редакція</w:t>
            </w:r>
          </w:p>
        </w:tc>
        <w:tc>
          <w:tcPr>
            <w:tcW w:w="7796" w:type="dxa"/>
          </w:tcPr>
          <w:p w14:paraId="720B458E" w14:textId="77777777" w:rsidR="00960BB6" w:rsidRPr="008C4BB1" w:rsidRDefault="00960BB6" w:rsidP="00012E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C4B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Запропоновані зміни</w:t>
            </w:r>
          </w:p>
        </w:tc>
      </w:tr>
      <w:tr w:rsidR="00B111E0" w:rsidRPr="00AD3C18" w14:paraId="36B34599" w14:textId="77777777" w:rsidTr="008C4BB1">
        <w:trPr>
          <w:trHeight w:val="1694"/>
        </w:trPr>
        <w:tc>
          <w:tcPr>
            <w:tcW w:w="7797" w:type="dxa"/>
          </w:tcPr>
          <w:p w14:paraId="17785EDF" w14:textId="77777777" w:rsidR="00AD3C18" w:rsidRDefault="00D761BE" w:rsidP="00D761BE">
            <w:pPr>
              <w:ind w:left="3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Додаток 4 до рішення Київської міської ради від 15.12.2022 № 5907/5918</w:t>
            </w:r>
          </w:p>
          <w:p w14:paraId="6E9A3A59" w14:textId="77777777" w:rsidR="00D761BE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CBC94A" w14:textId="0FA957CE" w:rsidR="00D761BE" w:rsidRPr="00D761BE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овнішн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теплова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мереж</w:t>
            </w:r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  <w:p w14:paraId="47C0DF37" w14:textId="77777777" w:rsidR="00D761BE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гуртожитку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приватного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акціонерного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товариства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«АТЕК» для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безоплатного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міста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Києва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праві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відання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комунальним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підприємством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(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) «КИЇВТЕПЛОЕНЕРГО»</w:t>
            </w:r>
          </w:p>
          <w:p w14:paraId="0216F463" w14:textId="49652172" w:rsidR="00D761BE" w:rsidRPr="006725CC" w:rsidRDefault="00D761BE" w:rsidP="00D7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A720FC" w14:textId="77777777" w:rsidR="00795520" w:rsidRDefault="00D761BE" w:rsidP="00D761BE">
            <w:pPr>
              <w:ind w:left="24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Додаток 4 до рішення Київської міської ради від 15.12.2022 № 5907/5918</w:t>
            </w:r>
          </w:p>
          <w:p w14:paraId="52E229A9" w14:textId="77777777" w:rsidR="00D761BE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FA932F9" w14:textId="2DBD513C" w:rsidR="00D761BE" w:rsidRPr="00D761BE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овнішн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теплова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мереж</w:t>
            </w:r>
            <w:r w:rsidRPr="00D761B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  <w:p w14:paraId="2BE62201" w14:textId="0915429E" w:rsidR="00D761BE" w:rsidRPr="00D761BE" w:rsidRDefault="00D761BE" w:rsidP="00D7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гуртожитку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приватного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акціонерного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товариства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«АТЕК» для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безоплатного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громади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міста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Києва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праві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господарського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відання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комунальним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підприємством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органу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(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Київської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D761BE">
              <w:rPr>
                <w:rFonts w:ascii="Times New Roman" w:eastAsia="Calibri" w:hAnsi="Times New Roman" w:cs="Times New Roman"/>
                <w:sz w:val="28"/>
                <w:szCs w:val="28"/>
              </w:rPr>
              <w:t>) «КИЇВТЕПЛОЕНЕРГО»</w:t>
            </w:r>
          </w:p>
        </w:tc>
      </w:tr>
      <w:tr w:rsidR="006725CC" w:rsidRPr="008C4BB1" w14:paraId="7522C7DF" w14:textId="77777777" w:rsidTr="008C4BB1">
        <w:trPr>
          <w:trHeight w:val="1694"/>
        </w:trPr>
        <w:tc>
          <w:tcPr>
            <w:tcW w:w="7797" w:type="dxa"/>
          </w:tcPr>
          <w:tbl>
            <w:tblPr>
              <w:tblStyle w:val="a3"/>
              <w:tblW w:w="7546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992"/>
              <w:gridCol w:w="851"/>
              <w:gridCol w:w="567"/>
              <w:gridCol w:w="708"/>
              <w:gridCol w:w="567"/>
              <w:gridCol w:w="567"/>
              <w:gridCol w:w="567"/>
              <w:gridCol w:w="567"/>
              <w:gridCol w:w="709"/>
              <w:gridCol w:w="1134"/>
            </w:tblGrid>
            <w:tr w:rsidR="00CC47F2" w:rsidRPr="008A7D5F" w14:paraId="2E483116" w14:textId="77777777" w:rsidTr="00CC47F2">
              <w:trPr>
                <w:trHeight w:val="375"/>
              </w:trPr>
              <w:tc>
                <w:tcPr>
                  <w:tcW w:w="31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4880F33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lastRenderedPageBreak/>
                    <w:t>№</w:t>
                  </w:r>
                </w:p>
                <w:p w14:paraId="32BBEC0D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5B7501" w14:textId="77777777" w:rsidR="00CC47F2" w:rsidRPr="00CC47F2" w:rsidRDefault="00CC47F2" w:rsidP="00CC47F2">
                  <w:pPr>
                    <w:pStyle w:val="1"/>
                    <w:ind w:left="-107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Назва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мереж, адреса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A48FBD" w14:textId="141D98A2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Підприєм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що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передає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52B208C" w14:textId="641DD4DC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Рік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вве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ден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ня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експ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луа-тацію</w:t>
                  </w:r>
                  <w:proofErr w:type="spellEnd"/>
                </w:p>
              </w:tc>
              <w:tc>
                <w:tcPr>
                  <w:tcW w:w="368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8C815C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Основні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показники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трубопроводів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мережі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134B92D9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554D3C0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Ринкова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(без ПДВ) станом на 30.06.2021,</w:t>
                  </w:r>
                </w:p>
                <w:p w14:paraId="0F042D3D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грн</w:t>
                  </w:r>
                  <w:proofErr w:type="spellEnd"/>
                </w:p>
              </w:tc>
            </w:tr>
            <w:tr w:rsidR="00CC47F2" w:rsidRPr="008A7D5F" w14:paraId="7417EBF7" w14:textId="77777777" w:rsidTr="00CC47F2">
              <w:trPr>
                <w:trHeight w:val="665"/>
              </w:trPr>
              <w:tc>
                <w:tcPr>
                  <w:tcW w:w="317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28FEE1D" w14:textId="77777777" w:rsidR="00CC47F2" w:rsidRPr="00D761BE" w:rsidRDefault="00CC47F2" w:rsidP="00CC47F2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6AE8F34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1B867FF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A7AA4FC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5E18416B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конструкція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ізоляції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</w:tcPr>
                <w:p w14:paraId="639298F6" w14:textId="77777777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Тип</w:t>
                  </w:r>
                </w:p>
                <w:p w14:paraId="0A02EF36" w14:textId="1A3DAFF8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Прок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ладан-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ня</w:t>
                  </w:r>
                  <w:proofErr w:type="spell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2D9F95ED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Протяжність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в двухтрубному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вимірі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, м. п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14:paraId="5E477E7C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Діаметр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труб, мм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77CC4FA2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C47F2" w:rsidRPr="008A7D5F" w14:paraId="725A1137" w14:textId="77777777" w:rsidTr="00CC47F2">
              <w:trPr>
                <w:trHeight w:val="930"/>
              </w:trPr>
              <w:tc>
                <w:tcPr>
                  <w:tcW w:w="31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4C45525" w14:textId="77777777" w:rsidR="00CC47F2" w:rsidRPr="00D761BE" w:rsidRDefault="00CC47F2" w:rsidP="00CC47F2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B03545F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9C87184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9B7A6DA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588C120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A65D0D9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F0A0813" w14:textId="58F3249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Цент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ральне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опале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ння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EE48277" w14:textId="77777777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гаряче</w:t>
                  </w:r>
                  <w:proofErr w:type="spellEnd"/>
                </w:p>
                <w:p w14:paraId="0F6DE69A" w14:textId="02CF936B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водо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поста-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чання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6344D7C" w14:textId="5033E8EE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Цент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ральне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опалення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F8D2F9E" w14:textId="727BC46E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гаряче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водо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поста-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чання</w:t>
                  </w:r>
                  <w:proofErr w:type="spellEnd"/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6688244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C47F2" w:rsidRPr="008A7D5F" w14:paraId="1C11FD81" w14:textId="77777777" w:rsidTr="00CC47F2">
              <w:tc>
                <w:tcPr>
                  <w:tcW w:w="3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45352C3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B9AA5FC" w14:textId="77777777" w:rsidR="00CC47F2" w:rsidRPr="00CC47F2" w:rsidRDefault="00CC47F2" w:rsidP="00CC47F2">
                  <w:pPr>
                    <w:pStyle w:val="1"/>
                    <w:ind w:left="-107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DE6F4A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60534E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3068C6F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A65763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734064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7A047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20ADFD0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6391597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FE1254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CC47F2" w:rsidRPr="008A7D5F" w14:paraId="616A65AC" w14:textId="77777777" w:rsidTr="00CC47F2">
              <w:tc>
                <w:tcPr>
                  <w:tcW w:w="3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937014C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1</w:t>
                  </w:r>
                </w:p>
                <w:p w14:paraId="4E39ACBB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E02855C" w14:textId="1EFAE4F7" w:rsidR="00CC47F2" w:rsidRPr="00CC47F2" w:rsidRDefault="00CC47F2" w:rsidP="00CC47F2">
                  <w:pPr>
                    <w:pStyle w:val="1"/>
                    <w:spacing w:before="0"/>
                    <w:ind w:left="-69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  <w:lang w:val="uk-UA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В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ТК 112/3 до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 вузла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br/>
                    <w:t>№ 112/3-1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, довжина орієнтовно 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br/>
                    <w:t>6 м</w:t>
                  </w:r>
                </w:p>
                <w:p w14:paraId="21C2F337" w14:textId="49B55B71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EF941D2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акціонерне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«АТЕК»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B5F0202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6DCF613" w14:textId="2F6C3DA8" w:rsidR="00CC47F2" w:rsidRPr="00CC47F2" w:rsidRDefault="00CC47F2" w:rsidP="00B23638">
                  <w:pPr>
                    <w:pStyle w:val="1"/>
                    <w:ind w:left="-112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  <w:lang w:val="uk-UA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Сталеві з підвіс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ною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ізоля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цією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5D8E73B" w14:textId="0CEEC571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  <w:lang w:val="uk-UA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В каналі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D2BA257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DFFD0A0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9F36EF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AF5598A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178F27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67FB0903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4959800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9F4FEA9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6DA57E2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9 100</w:t>
                  </w:r>
                </w:p>
              </w:tc>
            </w:tr>
            <w:tr w:rsidR="00CC47F2" w:rsidRPr="008A7D5F" w14:paraId="29D9C728" w14:textId="77777777" w:rsidTr="00CC47F2">
              <w:tblPrEx>
                <w:tblLook w:val="0000" w:firstRow="0" w:lastRow="0" w:firstColumn="0" w:lastColumn="0" w:noHBand="0" w:noVBand="0"/>
              </w:tblPrEx>
              <w:trPr>
                <w:trHeight w:val="705"/>
              </w:trPr>
              <w:tc>
                <w:tcPr>
                  <w:tcW w:w="317" w:type="dxa"/>
                </w:tcPr>
                <w:p w14:paraId="49CB58E4" w14:textId="77777777" w:rsidR="00CC47F2" w:rsidRPr="00CC47F2" w:rsidRDefault="00CC47F2" w:rsidP="00CC47F2">
                  <w:pPr>
                    <w:ind w:right="-108" w:firstLine="22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2</w:t>
                  </w:r>
                </w:p>
                <w:p w14:paraId="191E01C4" w14:textId="77777777" w:rsidR="00CC47F2" w:rsidRPr="00CC47F2" w:rsidRDefault="00CC47F2" w:rsidP="00CC47F2">
                  <w:pPr>
                    <w:ind w:right="-108" w:firstLine="22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F367500" w14:textId="181F8A64" w:rsidR="00CC47F2" w:rsidRPr="00CC47F2" w:rsidRDefault="00CC47F2" w:rsidP="00CC47F2">
                  <w:pPr>
                    <w:ind w:left="-69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Від ТК 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112/3 </w:t>
                  </w:r>
                </w:p>
                <w:p w14:paraId="57334EB3" w14:textId="6CFCAC73" w:rsidR="00CC47F2" w:rsidRPr="00CC47F2" w:rsidRDefault="00CC47F2" w:rsidP="00CC47F2">
                  <w:pPr>
                    <w:ind w:left="-69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 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окремо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розташова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-ного 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ЦТП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</w:p>
                <w:p w14:paraId="665F10BA" w14:textId="3470A9E5" w:rsidR="00CC47F2" w:rsidRPr="00CC47F2" w:rsidRDefault="00CC47F2" w:rsidP="00CC47F2">
                  <w:pPr>
                    <w:ind w:left="-69"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довжина орієнтовно 75 м</w:t>
                  </w:r>
                </w:p>
                <w:p w14:paraId="68119865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61038F4" w14:textId="77777777" w:rsidR="00CC47F2" w:rsidRPr="00CC47F2" w:rsidRDefault="00CC47F2" w:rsidP="00CC47F2">
                  <w:pPr>
                    <w:ind w:left="-75"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proofErr w:type="gram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  <w:p w14:paraId="3765AF7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3089B34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708" w:type="dxa"/>
                </w:tcPr>
                <w:p w14:paraId="0C36FE39" w14:textId="338DBA82" w:rsidR="00CC47F2" w:rsidRPr="00CC47F2" w:rsidRDefault="00B23638" w:rsidP="00B23638">
                  <w:pPr>
                    <w:pStyle w:val="1"/>
                    <w:ind w:left="-112" w:right="-108" w:firstLine="1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Сталеві з підвіс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ною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ізоля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цією</w:t>
                  </w:r>
                </w:p>
              </w:tc>
              <w:tc>
                <w:tcPr>
                  <w:tcW w:w="567" w:type="dxa"/>
                </w:tcPr>
                <w:p w14:paraId="34C38C80" w14:textId="1B7A81DE" w:rsidR="00CC47F2" w:rsidRPr="00CC47F2" w:rsidRDefault="00B23638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В каналі</w:t>
                  </w:r>
                </w:p>
              </w:tc>
              <w:tc>
                <w:tcPr>
                  <w:tcW w:w="567" w:type="dxa"/>
                </w:tcPr>
                <w:p w14:paraId="4CF1E264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75</w:t>
                  </w:r>
                </w:p>
                <w:p w14:paraId="7686F2A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33F841A" w14:textId="6EEDD883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6BBBB00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</w:tcPr>
                <w:p w14:paraId="1B01DBE0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  <w:p w14:paraId="315CD101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0CAE8C8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  <w:p w14:paraId="13511D32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114 100</w:t>
                  </w:r>
                </w:p>
              </w:tc>
            </w:tr>
            <w:tr w:rsidR="00CC47F2" w:rsidRPr="008A7D5F" w14:paraId="6D0C7385" w14:textId="77777777" w:rsidTr="00CC47F2">
              <w:tblPrEx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317" w:type="dxa"/>
                </w:tcPr>
                <w:p w14:paraId="22BA01A8" w14:textId="77777777" w:rsidR="00CC47F2" w:rsidRPr="00CC47F2" w:rsidRDefault="00CC47F2" w:rsidP="00CC47F2">
                  <w:pPr>
                    <w:ind w:right="-108" w:firstLine="2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6D3252AA" w14:textId="1D41EE41" w:rsidR="00CC47F2" w:rsidRPr="00CC47F2" w:rsidRDefault="00CC47F2" w:rsidP="00CC47F2">
                  <w:pPr>
                    <w:ind w:left="-69" w:right="-108" w:hanging="3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В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ВТ 112/3 до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будинку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</w:p>
                <w:p w14:paraId="3B2BD45C" w14:textId="26FB9CF9" w:rsidR="00CC47F2" w:rsidRPr="00CC47F2" w:rsidRDefault="00CC47F2" w:rsidP="00CC47F2">
                  <w:pPr>
                    <w:ind w:left="-69" w:right="-108" w:hanging="3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довжина орієнтовно 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br/>
                    <w:t>24 м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1B7E9BCD" w14:textId="77777777" w:rsidR="00CC47F2" w:rsidRPr="00CC47F2" w:rsidRDefault="00CC47F2" w:rsidP="00CC47F2">
                  <w:pPr>
                    <w:ind w:left="-75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</w:tc>
              <w:tc>
                <w:tcPr>
                  <w:tcW w:w="567" w:type="dxa"/>
                </w:tcPr>
                <w:p w14:paraId="632BBACC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708" w:type="dxa"/>
                </w:tcPr>
                <w:p w14:paraId="1FAA0E36" w14:textId="237E5A70" w:rsidR="00CC47F2" w:rsidRPr="00CC47F2" w:rsidRDefault="00B23638" w:rsidP="00B23638">
                  <w:pPr>
                    <w:pStyle w:val="1"/>
                    <w:ind w:left="-112" w:right="-108" w:firstLine="1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Сталеві з підвіс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ною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ізоля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цією</w:t>
                  </w:r>
                </w:p>
              </w:tc>
              <w:tc>
                <w:tcPr>
                  <w:tcW w:w="567" w:type="dxa"/>
                </w:tcPr>
                <w:p w14:paraId="59EFE8E2" w14:textId="141A5A9B" w:rsidR="00CC47F2" w:rsidRPr="00CC47F2" w:rsidRDefault="00B23638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В каналі</w:t>
                  </w:r>
                </w:p>
              </w:tc>
              <w:tc>
                <w:tcPr>
                  <w:tcW w:w="567" w:type="dxa"/>
                </w:tcPr>
                <w:p w14:paraId="63C619F0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14:paraId="41DE0559" w14:textId="35980AA8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D7FF627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</w:tcPr>
                <w:p w14:paraId="311339AB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9982691" w14:textId="77777777" w:rsidR="00CC47F2" w:rsidRPr="00D761BE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61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36 500</w:t>
                  </w:r>
                </w:p>
              </w:tc>
            </w:tr>
            <w:tr w:rsidR="00CC47F2" w:rsidRPr="008A7D5F" w14:paraId="5EDA6590" w14:textId="77777777" w:rsidTr="00CC47F2">
              <w:tblPrEx>
                <w:tblLook w:val="0000" w:firstRow="0" w:lastRow="0" w:firstColumn="0" w:lastColumn="0" w:noHBand="0" w:noVBand="0"/>
              </w:tblPrEx>
              <w:trPr>
                <w:trHeight w:val="690"/>
              </w:trPr>
              <w:tc>
                <w:tcPr>
                  <w:tcW w:w="317" w:type="dxa"/>
                </w:tcPr>
                <w:p w14:paraId="11B8B645" w14:textId="77777777" w:rsidR="00CC47F2" w:rsidRPr="00CC47F2" w:rsidRDefault="00CC47F2" w:rsidP="00CC47F2">
                  <w:pPr>
                    <w:ind w:right="-108" w:firstLine="2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  <w:p w14:paraId="76353FC4" w14:textId="77777777" w:rsidR="00CC47F2" w:rsidRPr="00CC47F2" w:rsidRDefault="00CC47F2" w:rsidP="00CC47F2">
                  <w:pPr>
                    <w:ind w:right="-108" w:firstLine="2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3DC4613" w14:textId="57710C8F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Подаваль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-ний трубо-провід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ГВП</w:t>
                  </w:r>
                </w:p>
                <w:p w14:paraId="64793B1D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19DDBD40" w14:textId="77777777" w:rsidR="00CC47F2" w:rsidRPr="00CC47F2" w:rsidRDefault="00CC47F2" w:rsidP="00CC47F2">
                  <w:pPr>
                    <w:ind w:left="-75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proofErr w:type="gram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  <w:p w14:paraId="6AB2016F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49EE009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708" w:type="dxa"/>
                </w:tcPr>
                <w:p w14:paraId="4A98EDE7" w14:textId="25476B5C" w:rsidR="00CC47F2" w:rsidRPr="00CC47F2" w:rsidRDefault="00B23638" w:rsidP="00B23638">
                  <w:pPr>
                    <w:pStyle w:val="1"/>
                    <w:ind w:left="-112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Сталеві з підвіс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ною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ізоля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цією</w:t>
                  </w:r>
                </w:p>
              </w:tc>
              <w:tc>
                <w:tcPr>
                  <w:tcW w:w="567" w:type="dxa"/>
                </w:tcPr>
                <w:p w14:paraId="67EBA356" w14:textId="317CDD31" w:rsidR="00CC47F2" w:rsidRPr="00CC47F2" w:rsidRDefault="00B23638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В каналі</w:t>
                  </w:r>
                </w:p>
              </w:tc>
              <w:tc>
                <w:tcPr>
                  <w:tcW w:w="567" w:type="dxa"/>
                </w:tcPr>
                <w:p w14:paraId="55E61413" w14:textId="28FF8DC0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69D0413" w14:textId="272C0A26" w:rsidR="00CC47F2" w:rsidRPr="00C45F10" w:rsidRDefault="00C45F10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Під-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зем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-ний 85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опо-рах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14</w:t>
                  </w:r>
                </w:p>
                <w:p w14:paraId="00B251AE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3F42E97" w14:textId="5F8E294C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59AC4167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1ø108</w:t>
                  </w:r>
                </w:p>
              </w:tc>
              <w:tc>
                <w:tcPr>
                  <w:tcW w:w="1134" w:type="dxa"/>
                </w:tcPr>
                <w:p w14:paraId="4055FCF6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61B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133 700</w:t>
                  </w:r>
                </w:p>
                <w:p w14:paraId="3DD63C77" w14:textId="77777777" w:rsidR="00CC47F2" w:rsidRPr="00D761BE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D6703C6" w14:textId="464F6FB3" w:rsidR="006725CC" w:rsidRPr="006725CC" w:rsidRDefault="006725CC" w:rsidP="006725CC">
            <w:pPr>
              <w:pStyle w:val="a7"/>
              <w:ind w:firstLine="320"/>
              <w:jc w:val="both"/>
              <w:rPr>
                <w:color w:val="000000" w:themeColor="text1"/>
              </w:rPr>
            </w:pPr>
          </w:p>
        </w:tc>
        <w:tc>
          <w:tcPr>
            <w:tcW w:w="7796" w:type="dxa"/>
          </w:tcPr>
          <w:tbl>
            <w:tblPr>
              <w:tblStyle w:val="a3"/>
              <w:tblW w:w="768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168"/>
              <w:gridCol w:w="992"/>
              <w:gridCol w:w="567"/>
              <w:gridCol w:w="567"/>
              <w:gridCol w:w="567"/>
              <w:gridCol w:w="425"/>
              <w:gridCol w:w="567"/>
              <w:gridCol w:w="709"/>
              <w:gridCol w:w="709"/>
              <w:gridCol w:w="992"/>
            </w:tblGrid>
            <w:tr w:rsidR="004E7989" w:rsidRPr="008A7D5F" w14:paraId="4C1CF21E" w14:textId="77777777" w:rsidTr="004E7989">
              <w:trPr>
                <w:trHeight w:val="375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773853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№</w:t>
                  </w:r>
                </w:p>
                <w:p w14:paraId="27B8C163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DFC8E8" w14:textId="77777777" w:rsidR="00CC47F2" w:rsidRPr="00CC47F2" w:rsidRDefault="00CC47F2" w:rsidP="00CC47F2">
                  <w:pPr>
                    <w:pStyle w:val="1"/>
                    <w:ind w:left="-107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Назва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мереж, адреса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2B533C" w14:textId="6093A58C" w:rsidR="00CC47F2" w:rsidRPr="00CC47F2" w:rsidRDefault="004E7989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Підприємст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во</w:t>
                  </w:r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,  </w:t>
                  </w:r>
                  <w:proofErr w:type="spellStart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що</w:t>
                  </w:r>
                  <w:proofErr w:type="spellEnd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передає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24EE74" w14:textId="7CBF037F" w:rsidR="00CC47F2" w:rsidRPr="00CC47F2" w:rsidRDefault="00CC47F2" w:rsidP="004E7989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Рік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вве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дення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в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експ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луа-тацію</w:t>
                  </w:r>
                  <w:proofErr w:type="spellEnd"/>
                </w:p>
              </w:tc>
              <w:tc>
                <w:tcPr>
                  <w:tcW w:w="3544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DCA0D2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Основні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показники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трубопроводів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мережі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3C127979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BCAE0FD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Ринкова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вартість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(без ПДВ) станом на 30.06.2021,</w:t>
                  </w:r>
                </w:p>
                <w:p w14:paraId="21260F12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грн</w:t>
                  </w:r>
                  <w:proofErr w:type="spellEnd"/>
                </w:p>
              </w:tc>
            </w:tr>
            <w:tr w:rsidR="00CC47F2" w:rsidRPr="008A7D5F" w14:paraId="58ED4615" w14:textId="77777777" w:rsidTr="004E7989">
              <w:trPr>
                <w:trHeight w:val="665"/>
              </w:trPr>
              <w:tc>
                <w:tcPr>
                  <w:tcW w:w="421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D8134CE" w14:textId="77777777" w:rsidR="00CC47F2" w:rsidRPr="00CC47F2" w:rsidRDefault="00CC47F2" w:rsidP="00CC47F2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0D3766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B718C9B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E2BEB95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45F95B5E" w14:textId="2620A02D" w:rsidR="00CC47F2" w:rsidRPr="00CC47F2" w:rsidRDefault="004E7989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К</w:t>
                  </w:r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онст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рукція</w:t>
                  </w:r>
                  <w:proofErr w:type="spellEnd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ізоляції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000000" w:themeColor="text1"/>
                  </w:tcBorders>
                </w:tcPr>
                <w:p w14:paraId="0A32ED62" w14:textId="77777777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Тип</w:t>
                  </w:r>
                </w:p>
                <w:p w14:paraId="5EC97FF9" w14:textId="490E5725" w:rsidR="00CC47F2" w:rsidRPr="00CC47F2" w:rsidRDefault="004E7989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</w:t>
                  </w:r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рок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ладан-</w:t>
                  </w:r>
                  <w:proofErr w:type="spellStart"/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ня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14:paraId="733F5636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Протяжність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в двухтрубному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вимірі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, м. п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14:paraId="5FDB3EE4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Діаметр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труб, мм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7908929B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C47F2" w:rsidRPr="008A7D5F" w14:paraId="16C829C2" w14:textId="77777777" w:rsidTr="004E7989">
              <w:trPr>
                <w:trHeight w:val="930"/>
              </w:trPr>
              <w:tc>
                <w:tcPr>
                  <w:tcW w:w="42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1A6848C" w14:textId="77777777" w:rsidR="00CC47F2" w:rsidRPr="00CC47F2" w:rsidRDefault="00CC47F2" w:rsidP="00CC47F2">
                  <w:pPr>
                    <w:ind w:right="-108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C37BE70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1917E6B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5AB9D65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33C21351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6BEC48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254688A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центральне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опалення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B3B3C91" w14:textId="77777777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гаряче</w:t>
                  </w:r>
                  <w:proofErr w:type="spellEnd"/>
                </w:p>
                <w:p w14:paraId="6A8F569F" w14:textId="77777777" w:rsidR="00CC47F2" w:rsidRPr="00CC47F2" w:rsidRDefault="00CC47F2" w:rsidP="00CC47F2">
                  <w:pPr>
                    <w:pStyle w:val="1"/>
                    <w:spacing w:before="0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водопоста-чання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FB0AB3" w14:textId="15542CB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Централь</w:t>
                  </w:r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не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опалення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4D62EF3" w14:textId="1BEBF6E4" w:rsidR="00CC47F2" w:rsidRPr="00CC47F2" w:rsidRDefault="004E7989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гаряче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водопос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та</w:t>
                  </w:r>
                  <w:r w:rsidR="00CC47F2"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чання</w:t>
                  </w:r>
                  <w:proofErr w:type="spellEnd"/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7D3E369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C47F2" w:rsidRPr="008A7D5F" w14:paraId="605E0CCB" w14:textId="77777777" w:rsidTr="004E7989">
              <w:tc>
                <w:tcPr>
                  <w:tcW w:w="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7F6BFA3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22809E" w14:textId="77777777" w:rsidR="00CC47F2" w:rsidRPr="00CC47F2" w:rsidRDefault="00CC47F2" w:rsidP="00CC47F2">
                  <w:pPr>
                    <w:pStyle w:val="1"/>
                    <w:ind w:left="-107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AD1446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8EFAA67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14:paraId="4D691DB0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A4D4D5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85DECC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C115C4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6D025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00242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78478F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CC47F2" w:rsidRPr="008A7D5F" w14:paraId="025B55EC" w14:textId="77777777" w:rsidTr="004E7989">
              <w:tc>
                <w:tcPr>
                  <w:tcW w:w="4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1DAB67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/>
                      <w:color w:val="auto"/>
                      <w:sz w:val="16"/>
                      <w:szCs w:val="16"/>
                    </w:rPr>
                    <w:t>1</w:t>
                  </w:r>
                </w:p>
                <w:p w14:paraId="74455838" w14:textId="77777777" w:rsidR="00CC47F2" w:rsidRPr="00CC47F2" w:rsidRDefault="00CC47F2" w:rsidP="00CC47F2">
                  <w:pPr>
                    <w:pStyle w:val="1"/>
                    <w:ind w:left="-142" w:right="-108"/>
                    <w:jc w:val="center"/>
                    <w:outlineLvl w:val="0"/>
                    <w:rPr>
                      <w:rFonts w:ascii="Times New Roman" w:hAnsi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3565954" w14:textId="77777777" w:rsidR="00CC47F2" w:rsidRPr="00CC47F2" w:rsidRDefault="00CC47F2" w:rsidP="00CC47F2">
                  <w:pPr>
                    <w:pStyle w:val="1"/>
                    <w:spacing w:before="0"/>
                    <w:ind w:left="-73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ТМ ЦО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ТК 112/3 до</w:t>
                  </w:r>
                </w:p>
                <w:p w14:paraId="42AD9E18" w14:textId="77777777" w:rsidR="00CC47F2" w:rsidRPr="00CC47F2" w:rsidRDefault="00CC47F2" w:rsidP="00CC47F2">
                  <w:pPr>
                    <w:pStyle w:val="1"/>
                    <w:spacing w:before="0"/>
                    <w:ind w:left="-73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ВТ № 112/3-1</w:t>
                  </w:r>
                </w:p>
                <w:p w14:paraId="1996C980" w14:textId="77777777" w:rsidR="00CC47F2" w:rsidRPr="00CC47F2" w:rsidRDefault="00CC47F2" w:rsidP="00CC47F2">
                  <w:pPr>
                    <w:pStyle w:val="1"/>
                    <w:spacing w:before="0"/>
                    <w:ind w:left="-73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вул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. Чистяківська,4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BCF19E" w14:textId="77777777" w:rsidR="00CC47F2" w:rsidRPr="00CC47F2" w:rsidRDefault="00CC47F2" w:rsidP="00CC47F2">
                  <w:pPr>
                    <w:pStyle w:val="1"/>
                    <w:ind w:left="-108"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акціонерне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 «АТЕК»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38E0422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A4135A3" w14:textId="7DF6D552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вісна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2B38B47" w14:textId="765D8CFE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Над</w:t>
                  </w:r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земна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7CF2ED32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E827F2B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3F554C98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466830FF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62C6EF2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11A8F842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A48B440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237BE88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5F956BF4" w14:textId="7777777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9 100</w:t>
                  </w:r>
                </w:p>
              </w:tc>
            </w:tr>
            <w:tr w:rsidR="00CC47F2" w:rsidRPr="008A7D5F" w14:paraId="71DC0514" w14:textId="77777777" w:rsidTr="004E7989">
              <w:tblPrEx>
                <w:tblLook w:val="0000" w:firstRow="0" w:lastRow="0" w:firstColumn="0" w:lastColumn="0" w:noHBand="0" w:noVBand="0"/>
              </w:tblPrEx>
              <w:trPr>
                <w:trHeight w:val="705"/>
              </w:trPr>
              <w:tc>
                <w:tcPr>
                  <w:tcW w:w="421" w:type="dxa"/>
                </w:tcPr>
                <w:p w14:paraId="04FBEFE4" w14:textId="77777777" w:rsidR="00CC47F2" w:rsidRPr="00CC47F2" w:rsidRDefault="00CC47F2" w:rsidP="00CC47F2">
                  <w:pPr>
                    <w:ind w:right="-108" w:firstLine="22"/>
                    <w:rPr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spacing w:val="-12"/>
                      <w:sz w:val="16"/>
                      <w:szCs w:val="16"/>
                    </w:rPr>
                    <w:t>2</w:t>
                  </w:r>
                </w:p>
                <w:p w14:paraId="502EB74D" w14:textId="77777777" w:rsidR="00CC47F2" w:rsidRPr="00CC47F2" w:rsidRDefault="00CC47F2" w:rsidP="00CC47F2">
                  <w:pPr>
                    <w:ind w:right="-108" w:firstLine="22"/>
                    <w:rPr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2B3ADBA8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ТМ ЦО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ВТ 112/3 – 1</w:t>
                  </w:r>
                </w:p>
                <w:p w14:paraId="0C098CA8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 ЦТП</w:t>
                  </w:r>
                </w:p>
                <w:p w14:paraId="6565CD97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вул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Чистяківська,2</w:t>
                  </w:r>
                </w:p>
                <w:p w14:paraId="0D8CFB6A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495D803" w14:textId="77777777" w:rsidR="00CC47F2" w:rsidRPr="00CC47F2" w:rsidRDefault="00CC47F2" w:rsidP="00CC47F2">
                  <w:pPr>
                    <w:ind w:left="-8" w:right="-108" w:firstLine="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proofErr w:type="gram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  <w:p w14:paraId="338CE85F" w14:textId="77777777" w:rsidR="00CC47F2" w:rsidRPr="00CC47F2" w:rsidRDefault="00CC47F2" w:rsidP="00CC47F2">
                  <w:pPr>
                    <w:ind w:left="-8" w:right="-108" w:firstLine="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FBB52F6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</w:tcPr>
                <w:p w14:paraId="106A8807" w14:textId="01629E1C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вісна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61F13428" w14:textId="0448C295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Над</w:t>
                  </w:r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земна</w:t>
                  </w:r>
                </w:p>
              </w:tc>
              <w:tc>
                <w:tcPr>
                  <w:tcW w:w="425" w:type="dxa"/>
                </w:tcPr>
                <w:p w14:paraId="7D6AC489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75</w:t>
                  </w:r>
                </w:p>
                <w:p w14:paraId="0402AC17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7590AC9E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  <w:p w14:paraId="4A3B276D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5A646E84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</w:tcPr>
                <w:p w14:paraId="59F0A9B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  <w:p w14:paraId="00AB198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EFE7621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</w:p>
                <w:p w14:paraId="4306AB07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114 100</w:t>
                  </w:r>
                </w:p>
              </w:tc>
            </w:tr>
            <w:tr w:rsidR="00CC47F2" w:rsidRPr="008A7D5F" w14:paraId="208DEE23" w14:textId="77777777" w:rsidTr="004E7989">
              <w:tblPrEx>
                <w:tblLook w:val="0000" w:firstRow="0" w:lastRow="0" w:firstColumn="0" w:lastColumn="0" w:noHBand="0" w:noVBand="0"/>
              </w:tblPrEx>
              <w:trPr>
                <w:trHeight w:val="435"/>
              </w:trPr>
              <w:tc>
                <w:tcPr>
                  <w:tcW w:w="421" w:type="dxa"/>
                </w:tcPr>
                <w:p w14:paraId="20BBD2CB" w14:textId="77777777" w:rsidR="00CC47F2" w:rsidRPr="00CC47F2" w:rsidRDefault="00CC47F2" w:rsidP="00CC47F2">
                  <w:pPr>
                    <w:ind w:right="-108" w:firstLine="22"/>
                    <w:rPr>
                      <w:sz w:val="16"/>
                      <w:szCs w:val="16"/>
                    </w:rPr>
                  </w:pPr>
                  <w:r w:rsidRPr="00CC47F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8" w:type="dxa"/>
                </w:tcPr>
                <w:p w14:paraId="60927968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ТМ ЦО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ВТ 112/3 -1</w:t>
                  </w:r>
                </w:p>
                <w:p w14:paraId="6E486571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будинку</w:t>
                  </w:r>
                  <w:proofErr w:type="spellEnd"/>
                </w:p>
                <w:p w14:paraId="6A689802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вул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pacing w:val="-12"/>
                      <w:sz w:val="16"/>
                      <w:szCs w:val="16"/>
                    </w:rPr>
                    <w:t>. Чистяківська,4</w:t>
                  </w:r>
                </w:p>
                <w:p w14:paraId="499C7D96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38ABCCF" w14:textId="77777777" w:rsidR="00CC47F2" w:rsidRPr="00CC47F2" w:rsidRDefault="00CC47F2" w:rsidP="00CC47F2">
                  <w:pPr>
                    <w:ind w:left="-8" w:right="-108" w:firstLine="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</w:tc>
              <w:tc>
                <w:tcPr>
                  <w:tcW w:w="567" w:type="dxa"/>
                </w:tcPr>
                <w:p w14:paraId="4C7A1875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</w:tcPr>
                <w:p w14:paraId="03091062" w14:textId="3F583A44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вісна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0DC624D8" w14:textId="79F69897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Над</w:t>
                  </w:r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земна</w:t>
                  </w:r>
                </w:p>
              </w:tc>
              <w:tc>
                <w:tcPr>
                  <w:tcW w:w="425" w:type="dxa"/>
                </w:tcPr>
                <w:p w14:paraId="05803084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14:paraId="21D1EB5B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0D3ECCC4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2ø108</w:t>
                  </w:r>
                </w:p>
              </w:tc>
              <w:tc>
                <w:tcPr>
                  <w:tcW w:w="709" w:type="dxa"/>
                </w:tcPr>
                <w:p w14:paraId="3D42325A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2F92748C" w14:textId="77777777" w:rsidR="00CC47F2" w:rsidRPr="00CC47F2" w:rsidRDefault="00CC47F2" w:rsidP="00CC47F2">
                  <w:pPr>
                    <w:ind w:left="108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36 500</w:t>
                  </w:r>
                </w:p>
              </w:tc>
            </w:tr>
            <w:tr w:rsidR="00CC47F2" w:rsidRPr="008A7D5F" w14:paraId="3DC796EA" w14:textId="77777777" w:rsidTr="004E7989">
              <w:tblPrEx>
                <w:tblLook w:val="0000" w:firstRow="0" w:lastRow="0" w:firstColumn="0" w:lastColumn="0" w:noHBand="0" w:noVBand="0"/>
              </w:tblPrEx>
              <w:trPr>
                <w:trHeight w:val="1561"/>
              </w:trPr>
              <w:tc>
                <w:tcPr>
                  <w:tcW w:w="421" w:type="dxa"/>
                </w:tcPr>
                <w:p w14:paraId="7FF56EEE" w14:textId="77777777" w:rsidR="00CC47F2" w:rsidRPr="00CC47F2" w:rsidRDefault="00CC47F2" w:rsidP="00CC47F2">
                  <w:pPr>
                    <w:ind w:right="-108" w:firstLine="22"/>
                    <w:rPr>
                      <w:sz w:val="16"/>
                      <w:szCs w:val="16"/>
                    </w:rPr>
                  </w:pPr>
                  <w:r w:rsidRPr="00CC47F2">
                    <w:rPr>
                      <w:sz w:val="16"/>
                      <w:szCs w:val="16"/>
                    </w:rPr>
                    <w:t>4</w:t>
                  </w:r>
                </w:p>
                <w:p w14:paraId="05ADA5D6" w14:textId="77777777" w:rsidR="00CC47F2" w:rsidRPr="00CC47F2" w:rsidRDefault="00CC47F2" w:rsidP="00CC47F2">
                  <w:pPr>
                    <w:ind w:right="-108" w:firstLine="2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8" w:type="dxa"/>
                </w:tcPr>
                <w:p w14:paraId="71BFC281" w14:textId="74C1B551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ТМ ГВП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від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ЦТП                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вул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Чистяківська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2                  до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будинку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вул.Чистяківсь</w:t>
                  </w:r>
                  <w:proofErr w:type="spellEnd"/>
                  <w:proofErr w:type="gramEnd"/>
                  <w:r w:rsidR="004E798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ка, 4</w:t>
                  </w:r>
                </w:p>
                <w:p w14:paraId="6495BECE" w14:textId="77777777" w:rsidR="00CC47F2" w:rsidRPr="00CC47F2" w:rsidRDefault="00CC47F2" w:rsidP="00CC47F2">
                  <w:pPr>
                    <w:ind w:left="-73"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FC5CD0F" w14:textId="77777777" w:rsidR="00CC47F2" w:rsidRPr="00CC47F2" w:rsidRDefault="00CC47F2" w:rsidP="00CC47F2">
                  <w:pPr>
                    <w:ind w:left="-8" w:right="-108" w:firstLine="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Приватне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акціонерне</w:t>
                  </w:r>
                  <w:proofErr w:type="spellEnd"/>
                  <w:proofErr w:type="gram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товариство</w:t>
                  </w:r>
                  <w:proofErr w:type="spellEnd"/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«АТЕК»</w:t>
                  </w:r>
                </w:p>
                <w:p w14:paraId="4258ABB0" w14:textId="77777777" w:rsidR="00CC47F2" w:rsidRPr="00CC47F2" w:rsidRDefault="00CC47F2" w:rsidP="00CC47F2">
                  <w:pPr>
                    <w:ind w:left="-8" w:right="-108" w:firstLine="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EBF66B6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567" w:type="dxa"/>
                </w:tcPr>
                <w:p w14:paraId="6FD443E8" w14:textId="36C00EFB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Під</w:t>
                  </w:r>
                  <w:proofErr w:type="spellEnd"/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proofErr w:type="spellStart"/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вісна</w:t>
                  </w:r>
                  <w:proofErr w:type="spellEnd"/>
                </w:p>
              </w:tc>
              <w:tc>
                <w:tcPr>
                  <w:tcW w:w="567" w:type="dxa"/>
                </w:tcPr>
                <w:p w14:paraId="3D3E1BC9" w14:textId="7A8C7878" w:rsidR="00CC47F2" w:rsidRPr="00CC47F2" w:rsidRDefault="00CC47F2" w:rsidP="00CC47F2">
                  <w:pPr>
                    <w:pStyle w:val="1"/>
                    <w:ind w:right="-108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Над</w:t>
                  </w:r>
                  <w:r w:rsidR="004E7989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  <w:lang w:val="uk-UA"/>
                    </w:rPr>
                    <w:t>-</w:t>
                  </w:r>
                  <w:r w:rsidRPr="00CC47F2"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земна</w:t>
                  </w:r>
                </w:p>
              </w:tc>
              <w:tc>
                <w:tcPr>
                  <w:tcW w:w="425" w:type="dxa"/>
                </w:tcPr>
                <w:p w14:paraId="12BCB548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6C8334AA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</w:t>
                  </w:r>
                </w:p>
                <w:p w14:paraId="00884FBA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86750B1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14:paraId="7E8F39AA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1ø108</w:t>
                  </w:r>
                </w:p>
              </w:tc>
              <w:tc>
                <w:tcPr>
                  <w:tcW w:w="992" w:type="dxa"/>
                </w:tcPr>
                <w:p w14:paraId="57A43045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C47F2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133 700</w:t>
                  </w:r>
                </w:p>
                <w:p w14:paraId="50DCB2E3" w14:textId="77777777" w:rsidR="00CC47F2" w:rsidRPr="00CC47F2" w:rsidRDefault="00CC47F2" w:rsidP="00CC47F2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3C484AE" w14:textId="768D01E0" w:rsidR="006725CC" w:rsidRPr="006725CC" w:rsidRDefault="006725CC" w:rsidP="006725CC">
            <w:pPr>
              <w:pStyle w:val="a7"/>
              <w:tabs>
                <w:tab w:val="left" w:pos="870"/>
              </w:tabs>
              <w:spacing w:before="0" w:beforeAutospacing="0" w:after="0" w:afterAutospacing="0"/>
              <w:ind w:firstLine="458"/>
              <w:rPr>
                <w:color w:val="000000" w:themeColor="text1"/>
              </w:rPr>
            </w:pPr>
          </w:p>
        </w:tc>
      </w:tr>
    </w:tbl>
    <w:p w14:paraId="2A32DFBB" w14:textId="55EE1FB1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2B429CFF" w14:textId="358DB85B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18E64D1C" w14:textId="77777777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155C48BC" w14:textId="2B2449E0" w:rsidR="0060064A" w:rsidRDefault="0060064A" w:rsidP="00D761BE">
      <w:pPr>
        <w:spacing w:after="0" w:line="240" w:lineRule="auto"/>
        <w:ind w:left="11482"/>
        <w:rPr>
          <w:lang w:val="uk-UA"/>
        </w:rPr>
      </w:pPr>
    </w:p>
    <w:sectPr w:rsidR="0060064A" w:rsidSect="008C4BB1">
      <w:pgSz w:w="16838" w:h="11906" w:orient="landscape"/>
      <w:pgMar w:top="851" w:right="678" w:bottom="15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6B"/>
    <w:multiLevelType w:val="hybridMultilevel"/>
    <w:tmpl w:val="7242B08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A466BD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F0B5738"/>
    <w:multiLevelType w:val="hybridMultilevel"/>
    <w:tmpl w:val="76B22A3A"/>
    <w:lvl w:ilvl="0" w:tplc="13C497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8CA4082"/>
    <w:multiLevelType w:val="hybridMultilevel"/>
    <w:tmpl w:val="830CFA44"/>
    <w:lvl w:ilvl="0" w:tplc="4A366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C76"/>
    <w:multiLevelType w:val="hybridMultilevel"/>
    <w:tmpl w:val="2536F594"/>
    <w:lvl w:ilvl="0" w:tplc="A442F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AD6E18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2110BF0"/>
    <w:multiLevelType w:val="hybridMultilevel"/>
    <w:tmpl w:val="0DA4A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053"/>
    <w:multiLevelType w:val="hybridMultilevel"/>
    <w:tmpl w:val="19369FA4"/>
    <w:lvl w:ilvl="0" w:tplc="4120ED7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505B"/>
    <w:multiLevelType w:val="hybridMultilevel"/>
    <w:tmpl w:val="D972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A02"/>
    <w:multiLevelType w:val="hybridMultilevel"/>
    <w:tmpl w:val="3194666A"/>
    <w:lvl w:ilvl="0" w:tplc="FC34FA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0C37"/>
    <w:multiLevelType w:val="hybridMultilevel"/>
    <w:tmpl w:val="C94E4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1667B"/>
    <w:multiLevelType w:val="hybridMultilevel"/>
    <w:tmpl w:val="622CC412"/>
    <w:lvl w:ilvl="0" w:tplc="2D20A1B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45464CF4"/>
    <w:multiLevelType w:val="multilevel"/>
    <w:tmpl w:val="3BA0E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3825F46"/>
    <w:multiLevelType w:val="hybridMultilevel"/>
    <w:tmpl w:val="622CC412"/>
    <w:lvl w:ilvl="0" w:tplc="2D20A1B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55530BD3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5BB2215"/>
    <w:multiLevelType w:val="hybridMultilevel"/>
    <w:tmpl w:val="C16001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2EFD"/>
    <w:multiLevelType w:val="hybridMultilevel"/>
    <w:tmpl w:val="1EE6E62C"/>
    <w:lvl w:ilvl="0" w:tplc="13C497A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61D20BA6"/>
    <w:multiLevelType w:val="hybridMultilevel"/>
    <w:tmpl w:val="184C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02E1A"/>
    <w:multiLevelType w:val="hybridMultilevel"/>
    <w:tmpl w:val="498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16998"/>
    <w:multiLevelType w:val="hybridMultilevel"/>
    <w:tmpl w:val="AFD04578"/>
    <w:lvl w:ilvl="0" w:tplc="2A28B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1E0D5D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780B0B8C"/>
    <w:multiLevelType w:val="hybridMultilevel"/>
    <w:tmpl w:val="BC74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DE7"/>
    <w:multiLevelType w:val="hybridMultilevel"/>
    <w:tmpl w:val="6F2C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5"/>
  </w:num>
  <w:num w:numId="9">
    <w:abstractNumId w:val="16"/>
  </w:num>
  <w:num w:numId="10">
    <w:abstractNumId w:val="22"/>
  </w:num>
  <w:num w:numId="11">
    <w:abstractNumId w:val="20"/>
  </w:num>
  <w:num w:numId="12">
    <w:abstractNumId w:val="13"/>
  </w:num>
  <w:num w:numId="13">
    <w:abstractNumId w:val="0"/>
  </w:num>
  <w:num w:numId="14">
    <w:abstractNumId w:val="19"/>
  </w:num>
  <w:num w:numId="15">
    <w:abstractNumId w:val="15"/>
  </w:num>
  <w:num w:numId="16">
    <w:abstractNumId w:val="7"/>
  </w:num>
  <w:num w:numId="17">
    <w:abstractNumId w:val="6"/>
  </w:num>
  <w:num w:numId="18">
    <w:abstractNumId w:val="4"/>
  </w:num>
  <w:num w:numId="19">
    <w:abstractNumId w:val="11"/>
  </w:num>
  <w:num w:numId="20">
    <w:abstractNumId w:val="3"/>
  </w:num>
  <w:num w:numId="21">
    <w:abstractNumId w:val="18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D6"/>
    <w:rsid w:val="00011EB0"/>
    <w:rsid w:val="00012949"/>
    <w:rsid w:val="00012E57"/>
    <w:rsid w:val="00015861"/>
    <w:rsid w:val="00047331"/>
    <w:rsid w:val="00052543"/>
    <w:rsid w:val="00083622"/>
    <w:rsid w:val="00097D98"/>
    <w:rsid w:val="000A2C7D"/>
    <w:rsid w:val="000C2784"/>
    <w:rsid w:val="000D4FE4"/>
    <w:rsid w:val="000D58BF"/>
    <w:rsid w:val="000E16AB"/>
    <w:rsid w:val="000F4A19"/>
    <w:rsid w:val="00102832"/>
    <w:rsid w:val="001048AE"/>
    <w:rsid w:val="001117CD"/>
    <w:rsid w:val="0011366D"/>
    <w:rsid w:val="00123076"/>
    <w:rsid w:val="001264F4"/>
    <w:rsid w:val="00132296"/>
    <w:rsid w:val="001423DA"/>
    <w:rsid w:val="0014481A"/>
    <w:rsid w:val="00147C57"/>
    <w:rsid w:val="00151399"/>
    <w:rsid w:val="00156BB4"/>
    <w:rsid w:val="00166CC7"/>
    <w:rsid w:val="00171D28"/>
    <w:rsid w:val="00172DE6"/>
    <w:rsid w:val="00173162"/>
    <w:rsid w:val="001733C1"/>
    <w:rsid w:val="00183F3F"/>
    <w:rsid w:val="00185A04"/>
    <w:rsid w:val="00185D18"/>
    <w:rsid w:val="00191AD7"/>
    <w:rsid w:val="001933D5"/>
    <w:rsid w:val="001A0186"/>
    <w:rsid w:val="001A0AA1"/>
    <w:rsid w:val="001A276C"/>
    <w:rsid w:val="001D4799"/>
    <w:rsid w:val="001E7AFA"/>
    <w:rsid w:val="001F0648"/>
    <w:rsid w:val="001F6463"/>
    <w:rsid w:val="00200658"/>
    <w:rsid w:val="00203520"/>
    <w:rsid w:val="0020740B"/>
    <w:rsid w:val="00220580"/>
    <w:rsid w:val="002249BB"/>
    <w:rsid w:val="002321E0"/>
    <w:rsid w:val="00236730"/>
    <w:rsid w:val="0024327C"/>
    <w:rsid w:val="00254031"/>
    <w:rsid w:val="00256512"/>
    <w:rsid w:val="00256605"/>
    <w:rsid w:val="0025725E"/>
    <w:rsid w:val="00264CF5"/>
    <w:rsid w:val="00283064"/>
    <w:rsid w:val="002B188F"/>
    <w:rsid w:val="002B59B5"/>
    <w:rsid w:val="002C1F03"/>
    <w:rsid w:val="002D05C5"/>
    <w:rsid w:val="002D08F5"/>
    <w:rsid w:val="002D26F4"/>
    <w:rsid w:val="002D271C"/>
    <w:rsid w:val="002F3FEF"/>
    <w:rsid w:val="002F4DC0"/>
    <w:rsid w:val="003006A8"/>
    <w:rsid w:val="00316272"/>
    <w:rsid w:val="00320ADF"/>
    <w:rsid w:val="00324CE9"/>
    <w:rsid w:val="00332EAC"/>
    <w:rsid w:val="003330F3"/>
    <w:rsid w:val="00352D01"/>
    <w:rsid w:val="003542DC"/>
    <w:rsid w:val="00380BAE"/>
    <w:rsid w:val="003874D7"/>
    <w:rsid w:val="00391632"/>
    <w:rsid w:val="003A3403"/>
    <w:rsid w:val="003E651B"/>
    <w:rsid w:val="00402D80"/>
    <w:rsid w:val="00414634"/>
    <w:rsid w:val="004344A7"/>
    <w:rsid w:val="00436C5C"/>
    <w:rsid w:val="00441375"/>
    <w:rsid w:val="00450124"/>
    <w:rsid w:val="00451A69"/>
    <w:rsid w:val="0045338B"/>
    <w:rsid w:val="004536BA"/>
    <w:rsid w:val="004636EF"/>
    <w:rsid w:val="004679BC"/>
    <w:rsid w:val="00483517"/>
    <w:rsid w:val="00492446"/>
    <w:rsid w:val="00493DD5"/>
    <w:rsid w:val="004A2339"/>
    <w:rsid w:val="004A3325"/>
    <w:rsid w:val="004B6744"/>
    <w:rsid w:val="004E4F23"/>
    <w:rsid w:val="004E7989"/>
    <w:rsid w:val="00502A5C"/>
    <w:rsid w:val="00504E29"/>
    <w:rsid w:val="0054042C"/>
    <w:rsid w:val="00542BD6"/>
    <w:rsid w:val="005529A1"/>
    <w:rsid w:val="005671B8"/>
    <w:rsid w:val="00573689"/>
    <w:rsid w:val="00597CFE"/>
    <w:rsid w:val="005A0A7C"/>
    <w:rsid w:val="005C53CD"/>
    <w:rsid w:val="005E0861"/>
    <w:rsid w:val="0060064A"/>
    <w:rsid w:val="0061408C"/>
    <w:rsid w:val="00617292"/>
    <w:rsid w:val="00623C09"/>
    <w:rsid w:val="006300FF"/>
    <w:rsid w:val="0064208B"/>
    <w:rsid w:val="006457A6"/>
    <w:rsid w:val="00662895"/>
    <w:rsid w:val="00670D12"/>
    <w:rsid w:val="006725CC"/>
    <w:rsid w:val="006A1B76"/>
    <w:rsid w:val="006C2300"/>
    <w:rsid w:val="006C2A24"/>
    <w:rsid w:val="006D69CB"/>
    <w:rsid w:val="006E259C"/>
    <w:rsid w:val="006E30F6"/>
    <w:rsid w:val="006E4E20"/>
    <w:rsid w:val="006E586D"/>
    <w:rsid w:val="006F004C"/>
    <w:rsid w:val="006F0F70"/>
    <w:rsid w:val="007032E1"/>
    <w:rsid w:val="00717F39"/>
    <w:rsid w:val="007459AC"/>
    <w:rsid w:val="007741C6"/>
    <w:rsid w:val="0078237A"/>
    <w:rsid w:val="0078300C"/>
    <w:rsid w:val="007837DA"/>
    <w:rsid w:val="00785DD4"/>
    <w:rsid w:val="00794A64"/>
    <w:rsid w:val="00795520"/>
    <w:rsid w:val="007B500F"/>
    <w:rsid w:val="007C0B0A"/>
    <w:rsid w:val="007C55E9"/>
    <w:rsid w:val="007E3E80"/>
    <w:rsid w:val="007E4039"/>
    <w:rsid w:val="007E707D"/>
    <w:rsid w:val="007E7434"/>
    <w:rsid w:val="007F0DA5"/>
    <w:rsid w:val="0082340D"/>
    <w:rsid w:val="00823B1E"/>
    <w:rsid w:val="0084792F"/>
    <w:rsid w:val="00852C3D"/>
    <w:rsid w:val="008536D4"/>
    <w:rsid w:val="00853C0C"/>
    <w:rsid w:val="00862775"/>
    <w:rsid w:val="00886DFA"/>
    <w:rsid w:val="008903AC"/>
    <w:rsid w:val="00893D5D"/>
    <w:rsid w:val="00895E4F"/>
    <w:rsid w:val="008A71E2"/>
    <w:rsid w:val="008B349D"/>
    <w:rsid w:val="008B6F74"/>
    <w:rsid w:val="008C24F6"/>
    <w:rsid w:val="008C4BB1"/>
    <w:rsid w:val="008D02C1"/>
    <w:rsid w:val="00923033"/>
    <w:rsid w:val="0093248F"/>
    <w:rsid w:val="00942428"/>
    <w:rsid w:val="00960BB6"/>
    <w:rsid w:val="009748E7"/>
    <w:rsid w:val="00990F97"/>
    <w:rsid w:val="00992FEC"/>
    <w:rsid w:val="00995505"/>
    <w:rsid w:val="00996302"/>
    <w:rsid w:val="009A30FA"/>
    <w:rsid w:val="009A617C"/>
    <w:rsid w:val="009C0933"/>
    <w:rsid w:val="009C5873"/>
    <w:rsid w:val="009C6BFA"/>
    <w:rsid w:val="009C6C0D"/>
    <w:rsid w:val="009C6D6D"/>
    <w:rsid w:val="009D6B0F"/>
    <w:rsid w:val="009E1E2C"/>
    <w:rsid w:val="009E1FD8"/>
    <w:rsid w:val="009E48E5"/>
    <w:rsid w:val="009F3D21"/>
    <w:rsid w:val="009F586F"/>
    <w:rsid w:val="00A0117E"/>
    <w:rsid w:val="00A02E85"/>
    <w:rsid w:val="00A10705"/>
    <w:rsid w:val="00A10A50"/>
    <w:rsid w:val="00A13FB2"/>
    <w:rsid w:val="00A2017E"/>
    <w:rsid w:val="00A35FAB"/>
    <w:rsid w:val="00A42638"/>
    <w:rsid w:val="00A47F77"/>
    <w:rsid w:val="00A6181E"/>
    <w:rsid w:val="00A70C11"/>
    <w:rsid w:val="00A76C90"/>
    <w:rsid w:val="00AB32E5"/>
    <w:rsid w:val="00AB46CC"/>
    <w:rsid w:val="00AB4BC7"/>
    <w:rsid w:val="00AB56F9"/>
    <w:rsid w:val="00AB6AAE"/>
    <w:rsid w:val="00AC64E2"/>
    <w:rsid w:val="00AD3C18"/>
    <w:rsid w:val="00AE0F4E"/>
    <w:rsid w:val="00AE3BCB"/>
    <w:rsid w:val="00AE4DEA"/>
    <w:rsid w:val="00AF5ED7"/>
    <w:rsid w:val="00AF7567"/>
    <w:rsid w:val="00B05017"/>
    <w:rsid w:val="00B111E0"/>
    <w:rsid w:val="00B11CAD"/>
    <w:rsid w:val="00B14B7F"/>
    <w:rsid w:val="00B23638"/>
    <w:rsid w:val="00B5265B"/>
    <w:rsid w:val="00B6738D"/>
    <w:rsid w:val="00B81D8C"/>
    <w:rsid w:val="00B905E5"/>
    <w:rsid w:val="00B92C64"/>
    <w:rsid w:val="00BB7963"/>
    <w:rsid w:val="00BC2341"/>
    <w:rsid w:val="00BD4422"/>
    <w:rsid w:val="00BD6AFB"/>
    <w:rsid w:val="00BF135B"/>
    <w:rsid w:val="00BF13D6"/>
    <w:rsid w:val="00BF54A9"/>
    <w:rsid w:val="00C0357E"/>
    <w:rsid w:val="00C06E3A"/>
    <w:rsid w:val="00C331EF"/>
    <w:rsid w:val="00C45F10"/>
    <w:rsid w:val="00C467B2"/>
    <w:rsid w:val="00C604E9"/>
    <w:rsid w:val="00C7597F"/>
    <w:rsid w:val="00C77C62"/>
    <w:rsid w:val="00C8200A"/>
    <w:rsid w:val="00C824DD"/>
    <w:rsid w:val="00C84093"/>
    <w:rsid w:val="00CC3C9A"/>
    <w:rsid w:val="00CC47F2"/>
    <w:rsid w:val="00CC5BE9"/>
    <w:rsid w:val="00CD4116"/>
    <w:rsid w:val="00CD5583"/>
    <w:rsid w:val="00CE6B4D"/>
    <w:rsid w:val="00CF0377"/>
    <w:rsid w:val="00CF4A9F"/>
    <w:rsid w:val="00D038AE"/>
    <w:rsid w:val="00D075FF"/>
    <w:rsid w:val="00D134ED"/>
    <w:rsid w:val="00D13FBE"/>
    <w:rsid w:val="00D1435A"/>
    <w:rsid w:val="00D2493C"/>
    <w:rsid w:val="00D31FC1"/>
    <w:rsid w:val="00D410C5"/>
    <w:rsid w:val="00D423B2"/>
    <w:rsid w:val="00D4611C"/>
    <w:rsid w:val="00D466D2"/>
    <w:rsid w:val="00D7234D"/>
    <w:rsid w:val="00D761BE"/>
    <w:rsid w:val="00D8249F"/>
    <w:rsid w:val="00D856D9"/>
    <w:rsid w:val="00D965D0"/>
    <w:rsid w:val="00D97A29"/>
    <w:rsid w:val="00DA49E4"/>
    <w:rsid w:val="00DB496E"/>
    <w:rsid w:val="00DC1449"/>
    <w:rsid w:val="00DC70C6"/>
    <w:rsid w:val="00DD188F"/>
    <w:rsid w:val="00DD4870"/>
    <w:rsid w:val="00DD5A1A"/>
    <w:rsid w:val="00DE7D79"/>
    <w:rsid w:val="00DF7D6E"/>
    <w:rsid w:val="00E024DD"/>
    <w:rsid w:val="00E035F5"/>
    <w:rsid w:val="00E108C2"/>
    <w:rsid w:val="00E47F7B"/>
    <w:rsid w:val="00E82E0E"/>
    <w:rsid w:val="00E84DB9"/>
    <w:rsid w:val="00EA345B"/>
    <w:rsid w:val="00EA3A65"/>
    <w:rsid w:val="00EA73C9"/>
    <w:rsid w:val="00EA73D1"/>
    <w:rsid w:val="00EB1FE7"/>
    <w:rsid w:val="00EC7079"/>
    <w:rsid w:val="00ED399C"/>
    <w:rsid w:val="00EF7C5D"/>
    <w:rsid w:val="00F03498"/>
    <w:rsid w:val="00F11642"/>
    <w:rsid w:val="00F12098"/>
    <w:rsid w:val="00F17529"/>
    <w:rsid w:val="00F203B1"/>
    <w:rsid w:val="00F33201"/>
    <w:rsid w:val="00F44B66"/>
    <w:rsid w:val="00F61A1F"/>
    <w:rsid w:val="00F6573F"/>
    <w:rsid w:val="00F702FA"/>
    <w:rsid w:val="00F72444"/>
    <w:rsid w:val="00F735A1"/>
    <w:rsid w:val="00F869DB"/>
    <w:rsid w:val="00F90EB5"/>
    <w:rsid w:val="00F91461"/>
    <w:rsid w:val="00F96498"/>
    <w:rsid w:val="00FC22BB"/>
    <w:rsid w:val="00FD7B67"/>
    <w:rsid w:val="00FF0A62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906B"/>
  <w15:docId w15:val="{03C5FB79-BF92-4FDD-8076-7022E17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1E2"/>
  </w:style>
  <w:style w:type="paragraph" w:styleId="1">
    <w:name w:val="heading 1"/>
    <w:basedOn w:val="a"/>
    <w:next w:val="a"/>
    <w:link w:val="10"/>
    <w:uiPriority w:val="9"/>
    <w:qFormat/>
    <w:rsid w:val="00D76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3C1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3C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6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C18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a9">
    <w:name w:val="Основной текст_"/>
    <w:basedOn w:val="a0"/>
    <w:link w:val="21"/>
    <w:rsid w:val="00567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uiPriority w:val="99"/>
    <w:rsid w:val="00567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671B8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761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FD37-C527-4D71-81BE-C9ED9769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Dyrector</dc:creator>
  <cp:lastModifiedBy>Антонюк Валентина Миколаївна</cp:lastModifiedBy>
  <cp:revision>2</cp:revision>
  <cp:lastPrinted>2023-02-07T13:33:00Z</cp:lastPrinted>
  <dcterms:created xsi:type="dcterms:W3CDTF">2024-05-15T07:55:00Z</dcterms:created>
  <dcterms:modified xsi:type="dcterms:W3CDTF">2024-05-15T07:55:00Z</dcterms:modified>
</cp:coreProperties>
</file>