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7A6" w:rsidRPr="002A5840" w:rsidRDefault="006457A6" w:rsidP="00504E29">
      <w:pPr>
        <w:spacing w:after="0" w:line="240" w:lineRule="auto"/>
        <w:jc w:val="center"/>
        <w:rPr>
          <w:rFonts w:ascii="Times New Roman" w:hAnsi="Times New Roman" w:cs="Times New Roman"/>
          <w:b/>
          <w:sz w:val="26"/>
          <w:szCs w:val="26"/>
          <w:lang w:val="uk-UA"/>
        </w:rPr>
      </w:pPr>
      <w:r w:rsidRPr="002A5840">
        <w:rPr>
          <w:rFonts w:ascii="Times New Roman" w:hAnsi="Times New Roman" w:cs="Times New Roman"/>
          <w:b/>
          <w:sz w:val="26"/>
          <w:szCs w:val="26"/>
          <w:lang w:val="uk-UA"/>
        </w:rPr>
        <w:t>Порівняльна</w:t>
      </w:r>
      <w:r w:rsidRPr="002A5840">
        <w:rPr>
          <w:b/>
          <w:sz w:val="26"/>
          <w:szCs w:val="26"/>
        </w:rPr>
        <w:t xml:space="preserve"> </w:t>
      </w:r>
      <w:r w:rsidR="00A94B22" w:rsidRPr="002A5840">
        <w:rPr>
          <w:rFonts w:ascii="Times New Roman" w:hAnsi="Times New Roman" w:cs="Times New Roman"/>
          <w:b/>
          <w:sz w:val="26"/>
          <w:szCs w:val="26"/>
          <w:lang w:val="uk-UA"/>
        </w:rPr>
        <w:t>таблиця</w:t>
      </w:r>
    </w:p>
    <w:p w:rsidR="00504E29" w:rsidRPr="002A5840" w:rsidRDefault="006457A6" w:rsidP="00A76C90">
      <w:pPr>
        <w:spacing w:after="0" w:line="240" w:lineRule="auto"/>
        <w:jc w:val="center"/>
        <w:rPr>
          <w:rFonts w:ascii="Times New Roman" w:hAnsi="Times New Roman" w:cs="Times New Roman"/>
          <w:sz w:val="26"/>
          <w:szCs w:val="26"/>
          <w:lang w:val="uk-UA"/>
        </w:rPr>
      </w:pPr>
      <w:r w:rsidRPr="002A5840">
        <w:rPr>
          <w:rFonts w:ascii="Times New Roman" w:hAnsi="Times New Roman" w:cs="Times New Roman"/>
          <w:sz w:val="26"/>
          <w:szCs w:val="26"/>
          <w:lang w:val="uk-UA"/>
        </w:rPr>
        <w:t xml:space="preserve">до </w:t>
      </w:r>
      <w:proofErr w:type="spellStart"/>
      <w:r w:rsidRPr="002A5840">
        <w:rPr>
          <w:rFonts w:ascii="Times New Roman" w:hAnsi="Times New Roman" w:cs="Times New Roman"/>
          <w:sz w:val="26"/>
          <w:szCs w:val="26"/>
          <w:lang w:val="uk-UA"/>
        </w:rPr>
        <w:t>проєкту</w:t>
      </w:r>
      <w:proofErr w:type="spellEnd"/>
      <w:r w:rsidRPr="002A5840">
        <w:rPr>
          <w:rFonts w:ascii="Times New Roman" w:hAnsi="Times New Roman" w:cs="Times New Roman"/>
          <w:sz w:val="26"/>
          <w:szCs w:val="26"/>
          <w:lang w:val="uk-UA"/>
        </w:rPr>
        <w:t xml:space="preserve"> </w:t>
      </w:r>
      <w:r w:rsidR="00200658" w:rsidRPr="002A5840">
        <w:rPr>
          <w:rFonts w:ascii="Times New Roman" w:hAnsi="Times New Roman" w:cs="Times New Roman"/>
          <w:sz w:val="26"/>
          <w:szCs w:val="26"/>
          <w:lang w:val="uk-UA"/>
        </w:rPr>
        <w:t>рішення</w:t>
      </w:r>
      <w:r w:rsidRPr="002A5840">
        <w:rPr>
          <w:rFonts w:ascii="Times New Roman" w:hAnsi="Times New Roman" w:cs="Times New Roman"/>
          <w:sz w:val="26"/>
          <w:szCs w:val="26"/>
          <w:lang w:val="uk-UA"/>
        </w:rPr>
        <w:t xml:space="preserve"> Київської міської ради</w:t>
      </w:r>
      <w:r w:rsidR="00AE3BCB" w:rsidRPr="002A5840">
        <w:rPr>
          <w:rFonts w:ascii="Times New Roman" w:hAnsi="Times New Roman" w:cs="Times New Roman"/>
          <w:sz w:val="26"/>
          <w:szCs w:val="26"/>
          <w:lang w:val="uk-UA"/>
        </w:rPr>
        <w:t xml:space="preserve"> </w:t>
      </w:r>
      <w:r w:rsidR="00A76C90" w:rsidRPr="002A5840">
        <w:rPr>
          <w:rFonts w:ascii="Times New Roman" w:hAnsi="Times New Roman" w:cs="Times New Roman"/>
          <w:sz w:val="26"/>
          <w:szCs w:val="26"/>
          <w:lang w:val="uk-UA"/>
        </w:rPr>
        <w:t>«Про внесення змін до Комплексної цільової програми підвищення енергоефективності та розвитку житлово-комунальної інфраструктури міста Києва на 2021</w:t>
      </w:r>
      <w:r w:rsidR="00A94B22" w:rsidRPr="002A5840">
        <w:rPr>
          <w:rFonts w:ascii="Times New Roman" w:hAnsi="Times New Roman" w:cs="Times New Roman"/>
          <w:sz w:val="26"/>
          <w:szCs w:val="26"/>
          <w:lang w:val="uk-UA"/>
        </w:rPr>
        <w:t>–</w:t>
      </w:r>
      <w:r w:rsidR="00A76C90" w:rsidRPr="002A5840">
        <w:rPr>
          <w:rFonts w:ascii="Times New Roman" w:hAnsi="Times New Roman" w:cs="Times New Roman"/>
          <w:sz w:val="26"/>
          <w:szCs w:val="26"/>
          <w:lang w:val="uk-UA"/>
        </w:rPr>
        <w:t>2025 роки</w:t>
      </w:r>
      <w:r w:rsidR="00677F1B">
        <w:rPr>
          <w:rFonts w:ascii="Times New Roman" w:hAnsi="Times New Roman" w:cs="Times New Roman"/>
          <w:sz w:val="26"/>
          <w:szCs w:val="26"/>
          <w:lang w:val="uk-UA"/>
        </w:rPr>
        <w:t>, затвердженої рішенням Київської міської ради від 27 травня 2021 року № 1241/1282</w:t>
      </w:r>
      <w:bookmarkStart w:id="0" w:name="_GoBack"/>
      <w:bookmarkEnd w:id="0"/>
      <w:r w:rsidR="00A76C90" w:rsidRPr="002A5840">
        <w:rPr>
          <w:rFonts w:ascii="Times New Roman" w:hAnsi="Times New Roman" w:cs="Times New Roman"/>
          <w:sz w:val="26"/>
          <w:szCs w:val="26"/>
          <w:lang w:val="uk-UA"/>
        </w:rPr>
        <w:t>»</w:t>
      </w:r>
    </w:p>
    <w:p w:rsidR="00D31FC1" w:rsidRDefault="00D31FC1" w:rsidP="00A76C90">
      <w:pPr>
        <w:spacing w:after="0" w:line="240" w:lineRule="auto"/>
        <w:jc w:val="center"/>
        <w:rPr>
          <w:rFonts w:ascii="Times New Roman" w:hAnsi="Times New Roman" w:cs="Times New Roman"/>
          <w:sz w:val="28"/>
          <w:szCs w:val="28"/>
          <w:lang w:val="uk-UA"/>
        </w:rPr>
      </w:pPr>
    </w:p>
    <w:tbl>
      <w:tblPr>
        <w:tblStyle w:val="a3"/>
        <w:tblW w:w="16302" w:type="dxa"/>
        <w:tblInd w:w="-459" w:type="dxa"/>
        <w:tblLayout w:type="fixed"/>
        <w:tblLook w:val="04A0" w:firstRow="1" w:lastRow="0" w:firstColumn="1" w:lastColumn="0" w:noHBand="0" w:noVBand="1"/>
      </w:tblPr>
      <w:tblGrid>
        <w:gridCol w:w="8080"/>
        <w:gridCol w:w="8222"/>
      </w:tblGrid>
      <w:tr w:rsidR="00960BB6" w:rsidTr="00967C88">
        <w:tc>
          <w:tcPr>
            <w:tcW w:w="8080" w:type="dxa"/>
          </w:tcPr>
          <w:p w:rsidR="00960BB6" w:rsidRPr="002A5840" w:rsidRDefault="00960BB6" w:rsidP="002A5840">
            <w:pPr>
              <w:ind w:left="33"/>
              <w:jc w:val="center"/>
              <w:rPr>
                <w:rFonts w:ascii="Times New Roman" w:hAnsi="Times New Roman" w:cs="Times New Roman"/>
                <w:sz w:val="26"/>
                <w:szCs w:val="26"/>
                <w:lang w:val="uk-UA"/>
              </w:rPr>
            </w:pPr>
            <w:r w:rsidRPr="002A5840">
              <w:rPr>
                <w:rFonts w:ascii="Times New Roman" w:hAnsi="Times New Roman" w:cs="Times New Roman"/>
                <w:sz w:val="26"/>
                <w:szCs w:val="26"/>
                <w:lang w:val="uk-UA"/>
              </w:rPr>
              <w:t>Чинна редакція</w:t>
            </w:r>
          </w:p>
        </w:tc>
        <w:tc>
          <w:tcPr>
            <w:tcW w:w="8222" w:type="dxa"/>
          </w:tcPr>
          <w:p w:rsidR="00960BB6" w:rsidRPr="002A5840" w:rsidRDefault="00960BB6" w:rsidP="002A5840">
            <w:pPr>
              <w:ind w:left="33"/>
              <w:jc w:val="center"/>
              <w:rPr>
                <w:rFonts w:ascii="Times New Roman" w:hAnsi="Times New Roman" w:cs="Times New Roman"/>
                <w:sz w:val="26"/>
                <w:szCs w:val="26"/>
                <w:lang w:val="uk-UA"/>
              </w:rPr>
            </w:pPr>
            <w:r w:rsidRPr="002A5840">
              <w:rPr>
                <w:rFonts w:ascii="Times New Roman" w:hAnsi="Times New Roman" w:cs="Times New Roman"/>
                <w:sz w:val="26"/>
                <w:szCs w:val="26"/>
                <w:lang w:val="uk-UA"/>
              </w:rPr>
              <w:t>Запропоновані зміни</w:t>
            </w:r>
          </w:p>
        </w:tc>
      </w:tr>
      <w:tr w:rsidR="00AF10E3" w:rsidRPr="00677F1B" w:rsidTr="00967C88">
        <w:tc>
          <w:tcPr>
            <w:tcW w:w="8080" w:type="dxa"/>
          </w:tcPr>
          <w:p w:rsidR="00AF10E3" w:rsidRPr="006E259C" w:rsidRDefault="00AF10E3" w:rsidP="00AF10E3">
            <w:pPr>
              <w:pStyle w:val="a4"/>
              <w:numPr>
                <w:ilvl w:val="0"/>
                <w:numId w:val="12"/>
              </w:numPr>
              <w:ind w:left="61" w:hanging="10"/>
              <w:jc w:val="both"/>
              <w:rPr>
                <w:rFonts w:ascii="Times New Roman" w:eastAsia="Calibri" w:hAnsi="Times New Roman" w:cs="Times New Roman"/>
                <w:sz w:val="24"/>
                <w:szCs w:val="24"/>
                <w:lang w:val="uk-UA"/>
              </w:rPr>
            </w:pPr>
            <w:r w:rsidRPr="006E259C">
              <w:rPr>
                <w:rFonts w:ascii="Times New Roman" w:eastAsia="Calibri" w:hAnsi="Times New Roman" w:cs="Times New Roman"/>
                <w:sz w:val="24"/>
                <w:szCs w:val="24"/>
                <w:lang w:val="uk-UA"/>
              </w:rPr>
              <w:t xml:space="preserve">Позиція </w:t>
            </w:r>
            <w:r>
              <w:rPr>
                <w:rFonts w:ascii="Times New Roman" w:eastAsia="Calibri" w:hAnsi="Times New Roman" w:cs="Times New Roman"/>
                <w:sz w:val="24"/>
                <w:szCs w:val="24"/>
                <w:lang w:val="uk-UA"/>
              </w:rPr>
              <w:t>6</w:t>
            </w:r>
            <w:r w:rsidRPr="006E259C">
              <w:rPr>
                <w:rFonts w:ascii="Times New Roman" w:eastAsia="Calibri" w:hAnsi="Times New Roman" w:cs="Times New Roman"/>
                <w:sz w:val="24"/>
                <w:szCs w:val="24"/>
                <w:lang w:val="uk-UA"/>
              </w:rPr>
              <w:t xml:space="preserve"> розділу 1 «ПАСПОРТ КОМПЛЕКСНОЇ ЦІЛЬОВОЇ ПРОГРАМИ ПІДВИЩЕННЯ ЕНЕРГОЕФЕКТИВНОСТІ ТА РОЗВИТКУ ЖИТЛОВО-КОМУНАЛЬНОЇ ІНФРАСТРУКТУРИ МІСТА КИЄВА НА 2021-2025 РОКИ»:</w:t>
            </w:r>
          </w:p>
          <w:tbl>
            <w:tblPr>
              <w:tblStyle w:val="a3"/>
              <w:tblW w:w="7570" w:type="dxa"/>
              <w:tblLayout w:type="fixed"/>
              <w:tblLook w:val="04A0" w:firstRow="1" w:lastRow="0" w:firstColumn="1" w:lastColumn="0" w:noHBand="0" w:noVBand="1"/>
            </w:tblPr>
            <w:tblGrid>
              <w:gridCol w:w="441"/>
              <w:gridCol w:w="1289"/>
              <w:gridCol w:w="5840"/>
            </w:tblGrid>
            <w:tr w:rsidR="00561F0C" w:rsidRPr="00677F1B" w:rsidTr="00914B66">
              <w:trPr>
                <w:trHeight w:val="434"/>
              </w:trPr>
              <w:tc>
                <w:tcPr>
                  <w:tcW w:w="441" w:type="dxa"/>
                </w:tcPr>
                <w:p w:rsidR="00561F0C" w:rsidRPr="00AF10E3" w:rsidRDefault="00561F0C" w:rsidP="00AF10E3">
                  <w:pPr>
                    <w:rPr>
                      <w:rFonts w:ascii="Times New Roman" w:eastAsia="Calibri" w:hAnsi="Times New Roman" w:cs="Times New Roman"/>
                      <w:sz w:val="16"/>
                      <w:szCs w:val="16"/>
                      <w:lang w:val="uk-UA"/>
                    </w:rPr>
                  </w:pPr>
                  <w:r w:rsidRPr="00AF10E3">
                    <w:rPr>
                      <w:rFonts w:ascii="Times New Roman" w:eastAsia="Calibri" w:hAnsi="Times New Roman" w:cs="Times New Roman"/>
                      <w:sz w:val="16"/>
                      <w:szCs w:val="16"/>
                      <w:lang w:val="uk-UA"/>
                    </w:rPr>
                    <w:t>6</w:t>
                  </w:r>
                </w:p>
              </w:tc>
              <w:tc>
                <w:tcPr>
                  <w:tcW w:w="1289" w:type="dxa"/>
                  <w:vAlign w:val="center"/>
                </w:tcPr>
                <w:p w:rsidR="00561F0C" w:rsidRPr="00914B66" w:rsidRDefault="00561F0C" w:rsidP="00AF10E3">
                  <w:pPr>
                    <w:rPr>
                      <w:rFonts w:ascii="Times New Roman" w:eastAsia="Calibri" w:hAnsi="Times New Roman" w:cs="Times New Roman"/>
                      <w:sz w:val="20"/>
                      <w:szCs w:val="20"/>
                      <w:lang w:val="uk-UA"/>
                    </w:rPr>
                  </w:pPr>
                  <w:r w:rsidRPr="00914B66">
                    <w:rPr>
                      <w:rFonts w:ascii="Times New Roman" w:eastAsia="Calibri" w:hAnsi="Times New Roman" w:cs="Times New Roman"/>
                      <w:sz w:val="20"/>
                      <w:szCs w:val="20"/>
                      <w:lang w:val="uk-UA"/>
                    </w:rPr>
                    <w:t>Співвиконавці програми</w:t>
                  </w:r>
                </w:p>
              </w:tc>
              <w:tc>
                <w:tcPr>
                  <w:tcW w:w="5840" w:type="dxa"/>
                  <w:vAlign w:val="center"/>
                </w:tcPr>
                <w:p w:rsidR="00561F0C" w:rsidRPr="00914B66" w:rsidRDefault="00914B66" w:rsidP="00914B66">
                  <w:pPr>
                    <w:jc w:val="both"/>
                    <w:rPr>
                      <w:rFonts w:ascii="Times New Roman" w:eastAsia="Calibri" w:hAnsi="Times New Roman" w:cs="Times New Roman"/>
                      <w:sz w:val="20"/>
                      <w:szCs w:val="20"/>
                      <w:lang w:val="uk-UA"/>
                    </w:rPr>
                  </w:pPr>
                  <w:r w:rsidRPr="00914B66">
                    <w:rPr>
                      <w:rFonts w:ascii="Times New Roman" w:eastAsia="Calibri" w:hAnsi="Times New Roman" w:cs="Times New Roman"/>
                      <w:sz w:val="20"/>
                      <w:szCs w:val="20"/>
                      <w:lang w:val="uk-UA"/>
                    </w:rPr>
                    <w:t>Департамент освіти і науки виконавчого органу Київської міської ради (Київської міської державної адміністрації), Департамент культури виконавчого органу Київської міської ради (Київської міської державної адміністрації), Департамент соціальної політики виконавчого органу Київської міської ради (Київської міської державної адміністрації), Департамент охорони здоров'я виконавчого органу Київської міської ради (Київської міської державної адміністрації); районні в місті Києві державні адміністрації; комунальне підприємство "КИЇВТЕПЛОЕНЕРГО", комунальне підприємство "</w:t>
                  </w:r>
                  <w:proofErr w:type="spellStart"/>
                  <w:r w:rsidRPr="00914B66">
                    <w:rPr>
                      <w:rFonts w:ascii="Times New Roman" w:eastAsia="Calibri" w:hAnsi="Times New Roman" w:cs="Times New Roman"/>
                      <w:sz w:val="20"/>
                      <w:szCs w:val="20"/>
                      <w:lang w:val="uk-UA"/>
                    </w:rPr>
                    <w:t>Київкомунсервіс</w:t>
                  </w:r>
                  <w:proofErr w:type="spellEnd"/>
                  <w:r w:rsidRPr="00914B66">
                    <w:rPr>
                      <w:rFonts w:ascii="Times New Roman" w:eastAsia="Calibri" w:hAnsi="Times New Roman" w:cs="Times New Roman"/>
                      <w:sz w:val="20"/>
                      <w:szCs w:val="20"/>
                      <w:lang w:val="uk-UA"/>
                    </w:rPr>
                    <w:t>", комунальне підприємство "Дирекція з капітального будівництва та реконструкції "</w:t>
                  </w:r>
                  <w:proofErr w:type="spellStart"/>
                  <w:r w:rsidRPr="00914B66">
                    <w:rPr>
                      <w:rFonts w:ascii="Times New Roman" w:eastAsia="Calibri" w:hAnsi="Times New Roman" w:cs="Times New Roman"/>
                      <w:sz w:val="20"/>
                      <w:szCs w:val="20"/>
                      <w:lang w:val="uk-UA"/>
                    </w:rPr>
                    <w:t>Київбудреконструкція</w:t>
                  </w:r>
                  <w:proofErr w:type="spellEnd"/>
                  <w:r w:rsidRPr="00914B66">
                    <w:rPr>
                      <w:rFonts w:ascii="Times New Roman" w:eastAsia="Calibri" w:hAnsi="Times New Roman" w:cs="Times New Roman"/>
                      <w:sz w:val="20"/>
                      <w:szCs w:val="20"/>
                      <w:lang w:val="uk-UA"/>
                    </w:rPr>
                    <w:t>", комунальне підприємство "Група впровадження проекту з енергозбереження в адміністративних і громадських будівлях м. Києва" виконавчого органу Київської міської ради (Київської міської державної адміністрації), комунальне підприємство "Дирекція з будівництва шляхово-транспортних споруд", комунальне підприємство "Спеціалізоване управління підземних протизсувних робіт", комунальне підприємство "Водно-інформаційний центр", комунальне підприємство "Інженерний центр", спеціалізоване водогосподарське підприємство "</w:t>
                  </w:r>
                  <w:proofErr w:type="spellStart"/>
                  <w:r w:rsidRPr="00914B66">
                    <w:rPr>
                      <w:rFonts w:ascii="Times New Roman" w:eastAsia="Calibri" w:hAnsi="Times New Roman" w:cs="Times New Roman"/>
                      <w:sz w:val="20"/>
                      <w:szCs w:val="20"/>
                      <w:lang w:val="uk-UA"/>
                    </w:rPr>
                    <w:t>Київводфонд</w:t>
                  </w:r>
                  <w:proofErr w:type="spellEnd"/>
                  <w:r w:rsidRPr="00914B66">
                    <w:rPr>
                      <w:rFonts w:ascii="Times New Roman" w:eastAsia="Calibri" w:hAnsi="Times New Roman" w:cs="Times New Roman"/>
                      <w:sz w:val="20"/>
                      <w:szCs w:val="20"/>
                      <w:lang w:val="uk-UA"/>
                    </w:rPr>
                    <w:t>", комунальне підприємство "Державний історико-меморіальний Лук'янівський заповідник", ритуальна служба спеціалізоване комунальне підприємство "Київський крематорій", приватне акціонерне товариство "</w:t>
                  </w:r>
                  <w:proofErr w:type="spellStart"/>
                  <w:r w:rsidRPr="00914B66">
                    <w:rPr>
                      <w:rFonts w:ascii="Times New Roman" w:eastAsia="Calibri" w:hAnsi="Times New Roman" w:cs="Times New Roman"/>
                      <w:sz w:val="20"/>
                      <w:szCs w:val="20"/>
                      <w:lang w:val="uk-UA"/>
                    </w:rPr>
                    <w:t>Київспецтранс</w:t>
                  </w:r>
                  <w:proofErr w:type="spellEnd"/>
                  <w:r w:rsidRPr="00914B66">
                    <w:rPr>
                      <w:rFonts w:ascii="Times New Roman" w:eastAsia="Calibri" w:hAnsi="Times New Roman" w:cs="Times New Roman"/>
                      <w:sz w:val="20"/>
                      <w:szCs w:val="20"/>
                      <w:lang w:val="uk-UA"/>
                    </w:rPr>
                    <w:t>", ритуальна служба спеціалізоване комунальне підприємство "</w:t>
                  </w:r>
                  <w:proofErr w:type="spellStart"/>
                  <w:r w:rsidRPr="00914B66">
                    <w:rPr>
                      <w:rFonts w:ascii="Times New Roman" w:eastAsia="Calibri" w:hAnsi="Times New Roman" w:cs="Times New Roman"/>
                      <w:sz w:val="20"/>
                      <w:szCs w:val="20"/>
                      <w:lang w:val="uk-UA"/>
                    </w:rPr>
                    <w:t>Спецкомбінат</w:t>
                  </w:r>
                  <w:proofErr w:type="spellEnd"/>
                  <w:r w:rsidRPr="00914B66">
                    <w:rPr>
                      <w:rFonts w:ascii="Times New Roman" w:eastAsia="Calibri" w:hAnsi="Times New Roman" w:cs="Times New Roman"/>
                      <w:sz w:val="20"/>
                      <w:szCs w:val="20"/>
                      <w:lang w:val="uk-UA"/>
                    </w:rPr>
                    <w:t>"; приватне акціонерне товариство "Акціонерна компанія "Київводоканал"</w:t>
                  </w:r>
                </w:p>
                <w:p w:rsidR="00914B66" w:rsidRPr="00914B66" w:rsidRDefault="00914B66" w:rsidP="00914B66">
                  <w:pPr>
                    <w:jc w:val="both"/>
                    <w:rPr>
                      <w:rFonts w:ascii="Times New Roman" w:eastAsia="Calibri" w:hAnsi="Times New Roman" w:cs="Times New Roman"/>
                      <w:sz w:val="20"/>
                      <w:szCs w:val="20"/>
                      <w:lang w:val="uk-UA"/>
                    </w:rPr>
                  </w:pPr>
                </w:p>
              </w:tc>
            </w:tr>
          </w:tbl>
          <w:p w:rsidR="00AF10E3" w:rsidRPr="00B81D8C" w:rsidRDefault="00AF10E3" w:rsidP="00AF10E3">
            <w:pPr>
              <w:rPr>
                <w:rFonts w:ascii="Times New Roman" w:hAnsi="Times New Roman" w:cs="Times New Roman"/>
                <w:sz w:val="28"/>
                <w:szCs w:val="28"/>
                <w:lang w:val="uk-UA"/>
              </w:rPr>
            </w:pPr>
          </w:p>
        </w:tc>
        <w:tc>
          <w:tcPr>
            <w:tcW w:w="8222" w:type="dxa"/>
          </w:tcPr>
          <w:p w:rsidR="00AF10E3" w:rsidRPr="006E259C" w:rsidRDefault="00AF10E3" w:rsidP="00AF10E3">
            <w:pPr>
              <w:pStyle w:val="a4"/>
              <w:numPr>
                <w:ilvl w:val="0"/>
                <w:numId w:val="13"/>
              </w:numPr>
              <w:ind w:left="66" w:firstLine="0"/>
              <w:jc w:val="both"/>
              <w:rPr>
                <w:rFonts w:ascii="Times New Roman" w:eastAsia="Calibri" w:hAnsi="Times New Roman" w:cs="Times New Roman"/>
                <w:sz w:val="24"/>
                <w:szCs w:val="24"/>
                <w:lang w:val="uk-UA"/>
              </w:rPr>
            </w:pPr>
            <w:r w:rsidRPr="006E259C">
              <w:rPr>
                <w:rFonts w:ascii="Times New Roman" w:eastAsia="Calibri" w:hAnsi="Times New Roman" w:cs="Times New Roman"/>
                <w:sz w:val="24"/>
                <w:szCs w:val="24"/>
                <w:lang w:val="uk-UA"/>
              </w:rPr>
              <w:t xml:space="preserve">Позиція </w:t>
            </w:r>
            <w:r>
              <w:rPr>
                <w:rFonts w:ascii="Times New Roman" w:eastAsia="Calibri" w:hAnsi="Times New Roman" w:cs="Times New Roman"/>
                <w:sz w:val="24"/>
                <w:szCs w:val="24"/>
                <w:lang w:val="uk-UA"/>
              </w:rPr>
              <w:t>6</w:t>
            </w:r>
            <w:r w:rsidRPr="006E259C">
              <w:rPr>
                <w:rFonts w:ascii="Times New Roman" w:eastAsia="Calibri" w:hAnsi="Times New Roman" w:cs="Times New Roman"/>
                <w:sz w:val="24"/>
                <w:szCs w:val="24"/>
                <w:lang w:val="uk-UA"/>
              </w:rPr>
              <w:t xml:space="preserve"> розділу 1 «ПАСПОРТ КОМПЛЕКСНОЇ ЦІЛЬОВОЇ ПРОГРАМИ ПІДВИЩЕННЯ ЕНЕРГОЕФЕКТИВНОСТІ ТА РОЗВИТКУ ЖИТЛОВО-КОМУНАЛЬНОЇ ІНФРАСТРУКТУРИ МІСТА КИЄВА НА 2021-2025 РОКИ»:</w:t>
            </w:r>
          </w:p>
          <w:tbl>
            <w:tblPr>
              <w:tblStyle w:val="a3"/>
              <w:tblW w:w="7716" w:type="dxa"/>
              <w:tblLayout w:type="fixed"/>
              <w:tblLook w:val="04A0" w:firstRow="1" w:lastRow="0" w:firstColumn="1" w:lastColumn="0" w:noHBand="0" w:noVBand="1"/>
            </w:tblPr>
            <w:tblGrid>
              <w:gridCol w:w="441"/>
              <w:gridCol w:w="1430"/>
              <w:gridCol w:w="5845"/>
            </w:tblGrid>
            <w:tr w:rsidR="00561F0C" w:rsidRPr="00677F1B" w:rsidTr="00914B66">
              <w:trPr>
                <w:trHeight w:val="572"/>
              </w:trPr>
              <w:tc>
                <w:tcPr>
                  <w:tcW w:w="441" w:type="dxa"/>
                </w:tcPr>
                <w:p w:rsidR="00561F0C" w:rsidRPr="00AF10E3" w:rsidRDefault="00561F0C" w:rsidP="00AF10E3">
                  <w:pPr>
                    <w:rPr>
                      <w:rFonts w:ascii="Times New Roman" w:eastAsia="Calibri" w:hAnsi="Times New Roman" w:cs="Times New Roman"/>
                      <w:sz w:val="16"/>
                      <w:szCs w:val="16"/>
                      <w:lang w:val="uk-UA"/>
                    </w:rPr>
                  </w:pPr>
                  <w:r w:rsidRPr="00AF10E3">
                    <w:rPr>
                      <w:rFonts w:ascii="Times New Roman" w:eastAsia="Calibri" w:hAnsi="Times New Roman" w:cs="Times New Roman"/>
                      <w:sz w:val="16"/>
                      <w:szCs w:val="16"/>
                      <w:lang w:val="uk-UA"/>
                    </w:rPr>
                    <w:t>6</w:t>
                  </w:r>
                </w:p>
              </w:tc>
              <w:tc>
                <w:tcPr>
                  <w:tcW w:w="1430" w:type="dxa"/>
                  <w:vAlign w:val="center"/>
                </w:tcPr>
                <w:p w:rsidR="00561F0C" w:rsidRPr="00AF10E3" w:rsidRDefault="00561F0C" w:rsidP="00AF10E3">
                  <w:pPr>
                    <w:rPr>
                      <w:rFonts w:ascii="Times New Roman" w:eastAsia="Calibri" w:hAnsi="Times New Roman" w:cs="Times New Roman"/>
                      <w:sz w:val="16"/>
                      <w:szCs w:val="16"/>
                      <w:lang w:val="uk-UA"/>
                    </w:rPr>
                  </w:pPr>
                  <w:r w:rsidRPr="00561F0C">
                    <w:rPr>
                      <w:rFonts w:ascii="Times New Roman" w:eastAsia="Calibri" w:hAnsi="Times New Roman" w:cs="Times New Roman"/>
                      <w:sz w:val="16"/>
                      <w:szCs w:val="16"/>
                      <w:lang w:val="uk-UA"/>
                    </w:rPr>
                    <w:t>Спі</w:t>
                  </w:r>
                  <w:r>
                    <w:rPr>
                      <w:rFonts w:ascii="Times New Roman" w:eastAsia="Calibri" w:hAnsi="Times New Roman" w:cs="Times New Roman"/>
                      <w:sz w:val="16"/>
                      <w:szCs w:val="16"/>
                      <w:lang w:val="uk-UA"/>
                    </w:rPr>
                    <w:t>ввиконавці програми</w:t>
                  </w:r>
                </w:p>
              </w:tc>
              <w:tc>
                <w:tcPr>
                  <w:tcW w:w="5845" w:type="dxa"/>
                  <w:vAlign w:val="bottom"/>
                </w:tcPr>
                <w:p w:rsidR="00C30968" w:rsidRPr="00914B66" w:rsidRDefault="00C30968" w:rsidP="00C30968">
                  <w:pPr>
                    <w:jc w:val="both"/>
                    <w:rPr>
                      <w:rFonts w:ascii="Times New Roman" w:eastAsia="Calibri" w:hAnsi="Times New Roman" w:cs="Times New Roman"/>
                      <w:sz w:val="20"/>
                      <w:szCs w:val="20"/>
                      <w:lang w:val="uk-UA"/>
                    </w:rPr>
                  </w:pPr>
                  <w:r w:rsidRPr="00914B66">
                    <w:rPr>
                      <w:rFonts w:ascii="Times New Roman" w:eastAsia="Calibri" w:hAnsi="Times New Roman" w:cs="Times New Roman"/>
                      <w:sz w:val="20"/>
                      <w:szCs w:val="20"/>
                      <w:lang w:val="uk-UA"/>
                    </w:rPr>
                    <w:t xml:space="preserve">Департамент освіти і науки виконавчого органу Київської міської ради (Київської міської державної адміністрації), Департамент культури виконавчого органу Київської міської ради (Київської міської державної адміністрації), Департамент соціальної політики виконавчого органу Київської міської ради (Київської міської державної адміністрації), Департамент охорони здоров'я виконавчого органу Київської міської ради (Київської міської державної адміністрації); </w:t>
                  </w:r>
                  <w:r w:rsidRPr="00C30968">
                    <w:rPr>
                      <w:rFonts w:ascii="Times New Roman" w:eastAsia="Calibri" w:hAnsi="Times New Roman" w:cs="Times New Roman"/>
                      <w:b/>
                      <w:sz w:val="20"/>
                      <w:szCs w:val="20"/>
                      <w:lang w:val="uk-UA"/>
                    </w:rPr>
                    <w:t>Департамент будівництва та житлового забезпечення виконавчого органу Київської міської ради (Київської міської державної адміністрації);</w:t>
                  </w:r>
                  <w:r>
                    <w:rPr>
                      <w:rFonts w:ascii="IBM Plex Serif" w:hAnsi="IBM Plex Serif"/>
                      <w:sz w:val="28"/>
                      <w:szCs w:val="28"/>
                      <w:shd w:val="clear" w:color="auto" w:fill="FFFFFF"/>
                      <w:lang w:val="uk-UA"/>
                    </w:rPr>
                    <w:t xml:space="preserve"> </w:t>
                  </w:r>
                  <w:r w:rsidRPr="00C30968">
                    <w:rPr>
                      <w:rFonts w:ascii="Times New Roman" w:eastAsia="Calibri" w:hAnsi="Times New Roman" w:cs="Times New Roman"/>
                      <w:b/>
                      <w:sz w:val="20"/>
                      <w:szCs w:val="20"/>
                      <w:lang w:val="uk-UA"/>
                    </w:rPr>
                    <w:t>керуючі компанії з обслуговування житлового фонду районів м. Києва</w:t>
                  </w:r>
                  <w:r>
                    <w:rPr>
                      <w:rFonts w:ascii="Times New Roman" w:eastAsia="Calibri" w:hAnsi="Times New Roman" w:cs="Times New Roman"/>
                      <w:b/>
                      <w:sz w:val="20"/>
                      <w:szCs w:val="20"/>
                      <w:lang w:val="uk-UA"/>
                    </w:rPr>
                    <w:t>;</w:t>
                  </w:r>
                  <w:r w:rsidRPr="00914B66">
                    <w:rPr>
                      <w:rFonts w:ascii="Times New Roman" w:eastAsia="Calibri" w:hAnsi="Times New Roman" w:cs="Times New Roman"/>
                      <w:sz w:val="20"/>
                      <w:szCs w:val="20"/>
                      <w:lang w:val="uk-UA"/>
                    </w:rPr>
                    <w:t xml:space="preserve"> районні в місті Києві державні адміністрації; комунальне підприємство "КИЇВТЕПЛОЕНЕРГО", комунальне підприємство "</w:t>
                  </w:r>
                  <w:proofErr w:type="spellStart"/>
                  <w:r w:rsidRPr="00914B66">
                    <w:rPr>
                      <w:rFonts w:ascii="Times New Roman" w:eastAsia="Calibri" w:hAnsi="Times New Roman" w:cs="Times New Roman"/>
                      <w:sz w:val="20"/>
                      <w:szCs w:val="20"/>
                      <w:lang w:val="uk-UA"/>
                    </w:rPr>
                    <w:t>Київкомунсервіс</w:t>
                  </w:r>
                  <w:proofErr w:type="spellEnd"/>
                  <w:r w:rsidRPr="00914B66">
                    <w:rPr>
                      <w:rFonts w:ascii="Times New Roman" w:eastAsia="Calibri" w:hAnsi="Times New Roman" w:cs="Times New Roman"/>
                      <w:sz w:val="20"/>
                      <w:szCs w:val="20"/>
                      <w:lang w:val="uk-UA"/>
                    </w:rPr>
                    <w:t>", комунальне підприємство "Дирекція з капітального будівництва та реконструкції "</w:t>
                  </w:r>
                  <w:proofErr w:type="spellStart"/>
                  <w:r w:rsidRPr="00914B66">
                    <w:rPr>
                      <w:rFonts w:ascii="Times New Roman" w:eastAsia="Calibri" w:hAnsi="Times New Roman" w:cs="Times New Roman"/>
                      <w:sz w:val="20"/>
                      <w:szCs w:val="20"/>
                      <w:lang w:val="uk-UA"/>
                    </w:rPr>
                    <w:t>Київбудреконструкція</w:t>
                  </w:r>
                  <w:proofErr w:type="spellEnd"/>
                  <w:r w:rsidRPr="00914B66">
                    <w:rPr>
                      <w:rFonts w:ascii="Times New Roman" w:eastAsia="Calibri" w:hAnsi="Times New Roman" w:cs="Times New Roman"/>
                      <w:sz w:val="20"/>
                      <w:szCs w:val="20"/>
                      <w:lang w:val="uk-UA"/>
                    </w:rPr>
                    <w:t>", комунальне підприємство "Група впровадження проекту з енергозбереження в адміністративних і громадських будівлях м. Києва" виконавчого органу Київської міської ради (Київської міської державної адміністрації), комунальне підприємство "Дирекція з будівництва шляхово-транспортних споруд", комунальне підприємство "Спеціалізоване управління підземних протизсувних робіт", комунальне підприємство "Водно-інформаційний центр", комунальне підприємство "Інженерний центр", спеціалізоване водогосподарське підприємство "</w:t>
                  </w:r>
                  <w:proofErr w:type="spellStart"/>
                  <w:r w:rsidRPr="00914B66">
                    <w:rPr>
                      <w:rFonts w:ascii="Times New Roman" w:eastAsia="Calibri" w:hAnsi="Times New Roman" w:cs="Times New Roman"/>
                      <w:sz w:val="20"/>
                      <w:szCs w:val="20"/>
                      <w:lang w:val="uk-UA"/>
                    </w:rPr>
                    <w:t>Київводфонд</w:t>
                  </w:r>
                  <w:proofErr w:type="spellEnd"/>
                  <w:r w:rsidRPr="00914B66">
                    <w:rPr>
                      <w:rFonts w:ascii="Times New Roman" w:eastAsia="Calibri" w:hAnsi="Times New Roman" w:cs="Times New Roman"/>
                      <w:sz w:val="20"/>
                      <w:szCs w:val="20"/>
                      <w:lang w:val="uk-UA"/>
                    </w:rPr>
                    <w:t>", комунальне підприємство "Державний історико-меморіальний Лук'янівський заповідник", ритуальна служба спеціалізоване комунальне підприємство "Київський крематорій", приватне акціонерне товариство "</w:t>
                  </w:r>
                  <w:proofErr w:type="spellStart"/>
                  <w:r w:rsidRPr="00914B66">
                    <w:rPr>
                      <w:rFonts w:ascii="Times New Roman" w:eastAsia="Calibri" w:hAnsi="Times New Roman" w:cs="Times New Roman"/>
                      <w:sz w:val="20"/>
                      <w:szCs w:val="20"/>
                      <w:lang w:val="uk-UA"/>
                    </w:rPr>
                    <w:t>Київспецтранс</w:t>
                  </w:r>
                  <w:proofErr w:type="spellEnd"/>
                  <w:r w:rsidRPr="00914B66">
                    <w:rPr>
                      <w:rFonts w:ascii="Times New Roman" w:eastAsia="Calibri" w:hAnsi="Times New Roman" w:cs="Times New Roman"/>
                      <w:sz w:val="20"/>
                      <w:szCs w:val="20"/>
                      <w:lang w:val="uk-UA"/>
                    </w:rPr>
                    <w:t xml:space="preserve">", ритуальна служба спеціалізоване </w:t>
                  </w:r>
                  <w:r w:rsidRPr="00914B66">
                    <w:rPr>
                      <w:rFonts w:ascii="Times New Roman" w:eastAsia="Calibri" w:hAnsi="Times New Roman" w:cs="Times New Roman"/>
                      <w:sz w:val="20"/>
                      <w:szCs w:val="20"/>
                      <w:lang w:val="uk-UA"/>
                    </w:rPr>
                    <w:lastRenderedPageBreak/>
                    <w:t>комунальне підприємство "</w:t>
                  </w:r>
                  <w:proofErr w:type="spellStart"/>
                  <w:r w:rsidRPr="00914B66">
                    <w:rPr>
                      <w:rFonts w:ascii="Times New Roman" w:eastAsia="Calibri" w:hAnsi="Times New Roman" w:cs="Times New Roman"/>
                      <w:sz w:val="20"/>
                      <w:szCs w:val="20"/>
                      <w:lang w:val="uk-UA"/>
                    </w:rPr>
                    <w:t>Спецкомбінат</w:t>
                  </w:r>
                  <w:proofErr w:type="spellEnd"/>
                  <w:r w:rsidRPr="00914B66">
                    <w:rPr>
                      <w:rFonts w:ascii="Times New Roman" w:eastAsia="Calibri" w:hAnsi="Times New Roman" w:cs="Times New Roman"/>
                      <w:sz w:val="20"/>
                      <w:szCs w:val="20"/>
                      <w:lang w:val="uk-UA"/>
                    </w:rPr>
                    <w:t>"; приватне акціонерне товариство "Акціонерна компанія "Київводоканал"</w:t>
                  </w:r>
                </w:p>
                <w:p w:rsidR="00561F0C" w:rsidRPr="00AF10E3" w:rsidRDefault="00561F0C" w:rsidP="00AF10E3">
                  <w:pPr>
                    <w:rPr>
                      <w:rFonts w:ascii="Times New Roman" w:eastAsia="Calibri" w:hAnsi="Times New Roman" w:cs="Times New Roman"/>
                      <w:sz w:val="16"/>
                      <w:szCs w:val="16"/>
                      <w:lang w:val="uk-UA"/>
                    </w:rPr>
                  </w:pPr>
                </w:p>
              </w:tc>
            </w:tr>
          </w:tbl>
          <w:p w:rsidR="00AF10E3" w:rsidRPr="009A617C" w:rsidRDefault="00AF10E3" w:rsidP="00AF10E3">
            <w:pPr>
              <w:rPr>
                <w:rFonts w:ascii="Times New Roman" w:eastAsia="Calibri" w:hAnsi="Times New Roman" w:cs="Times New Roman"/>
                <w:sz w:val="28"/>
                <w:szCs w:val="28"/>
                <w:lang w:val="uk-UA"/>
              </w:rPr>
            </w:pPr>
          </w:p>
        </w:tc>
      </w:tr>
      <w:tr w:rsidR="00AF10E3" w:rsidRPr="005E583B" w:rsidTr="00026C6D">
        <w:trPr>
          <w:trHeight w:val="56"/>
        </w:trPr>
        <w:tc>
          <w:tcPr>
            <w:tcW w:w="8080" w:type="dxa"/>
          </w:tcPr>
          <w:p w:rsidR="00AF10E3" w:rsidRDefault="00AF10E3" w:rsidP="00AF10E3">
            <w:pPr>
              <w:ind w:left="33"/>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2. </w:t>
            </w:r>
            <w:r w:rsidRPr="00C123BF">
              <w:rPr>
                <w:rFonts w:ascii="Times New Roman" w:hAnsi="Times New Roman" w:cs="Times New Roman"/>
                <w:sz w:val="26"/>
                <w:szCs w:val="26"/>
                <w:lang w:val="uk-UA"/>
              </w:rPr>
              <w:t>Позиці</w:t>
            </w:r>
            <w:r>
              <w:rPr>
                <w:rFonts w:ascii="Times New Roman" w:hAnsi="Times New Roman" w:cs="Times New Roman"/>
                <w:sz w:val="26"/>
                <w:szCs w:val="26"/>
                <w:lang w:val="uk-UA"/>
              </w:rPr>
              <w:t>я</w:t>
            </w:r>
            <w:r w:rsidRPr="00C123BF">
              <w:rPr>
                <w:rFonts w:ascii="Times New Roman" w:hAnsi="Times New Roman" w:cs="Times New Roman"/>
                <w:sz w:val="26"/>
                <w:szCs w:val="26"/>
                <w:lang w:val="uk-UA"/>
              </w:rPr>
              <w:t xml:space="preserve"> 1.1.12 пункту 1.1. «Облаштування ігрових і спортивних майданчиків, утримання асфальтового покриття прибудинкових територій житлових будинків і </w:t>
            </w:r>
            <w:proofErr w:type="spellStart"/>
            <w:r w:rsidRPr="00C123BF">
              <w:rPr>
                <w:rFonts w:ascii="Times New Roman" w:hAnsi="Times New Roman" w:cs="Times New Roman"/>
                <w:sz w:val="26"/>
                <w:szCs w:val="26"/>
                <w:lang w:val="uk-UA"/>
              </w:rPr>
              <w:t>внутрішньоквартальних</w:t>
            </w:r>
            <w:proofErr w:type="spellEnd"/>
            <w:r w:rsidRPr="00C123BF">
              <w:rPr>
                <w:rFonts w:ascii="Times New Roman" w:hAnsi="Times New Roman" w:cs="Times New Roman"/>
                <w:sz w:val="26"/>
                <w:szCs w:val="26"/>
                <w:lang w:val="uk-UA"/>
              </w:rPr>
              <w:t xml:space="preserve"> проїздів, капітальний ремонт </w:t>
            </w:r>
            <w:proofErr w:type="spellStart"/>
            <w:r w:rsidRPr="00C123BF">
              <w:rPr>
                <w:rFonts w:ascii="Times New Roman" w:hAnsi="Times New Roman" w:cs="Times New Roman"/>
                <w:sz w:val="26"/>
                <w:szCs w:val="26"/>
                <w:lang w:val="uk-UA"/>
              </w:rPr>
              <w:t>зливоприймальних</w:t>
            </w:r>
            <w:proofErr w:type="spellEnd"/>
            <w:r w:rsidRPr="00C123BF">
              <w:rPr>
                <w:rFonts w:ascii="Times New Roman" w:hAnsi="Times New Roman" w:cs="Times New Roman"/>
                <w:sz w:val="26"/>
                <w:szCs w:val="26"/>
                <w:lang w:val="uk-UA"/>
              </w:rPr>
              <w:t xml:space="preserve"> мереж (без фінансової участі співвласників) (перелік об'єктів затверджується щорічно відповідним розпорядчим актом)» розділу 1. «ТЕХНІЧНЕ ПЕРЕОСНАЩЕННЯ ТА ПІДВИЩЕННЯ ЕНЕРГОЕФЕКТИВНОСТІ У ГАЛУЗЯХ ЖИТЛОВО-КОМУНАЛЬНОГО ГОСПОДАРСТВА» «ДОДАТОК 1.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w:t>
            </w:r>
            <w:r>
              <w:rPr>
                <w:rFonts w:ascii="Times New Roman" w:hAnsi="Times New Roman" w:cs="Times New Roman"/>
                <w:sz w:val="26"/>
                <w:szCs w:val="26"/>
                <w:lang w:val="uk-UA"/>
              </w:rPr>
              <w:t xml:space="preserve"> до</w:t>
            </w:r>
            <w:r w:rsidRPr="00C123BF">
              <w:rPr>
                <w:rFonts w:ascii="Times New Roman" w:hAnsi="Times New Roman" w:cs="Times New Roman"/>
                <w:sz w:val="26"/>
                <w:szCs w:val="26"/>
                <w:lang w:val="uk-UA"/>
              </w:rPr>
              <w:t xml:space="preserve"> Програми: </w:t>
            </w:r>
          </w:p>
          <w:p w:rsidR="00AF10E3" w:rsidRDefault="00AF10E3" w:rsidP="00AF10E3">
            <w:pPr>
              <w:ind w:left="33"/>
              <w:jc w:val="both"/>
              <w:rPr>
                <w:rFonts w:ascii="Times New Roman" w:hAnsi="Times New Roman" w:cs="Times New Roman"/>
                <w:sz w:val="26"/>
                <w:szCs w:val="26"/>
                <w:lang w:val="uk-UA"/>
              </w:rPr>
            </w:pPr>
          </w:p>
          <w:tbl>
            <w:tblPr>
              <w:tblW w:w="7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576"/>
              <w:gridCol w:w="711"/>
              <w:gridCol w:w="426"/>
              <w:gridCol w:w="856"/>
              <w:gridCol w:w="425"/>
              <w:gridCol w:w="707"/>
              <w:gridCol w:w="846"/>
              <w:gridCol w:w="564"/>
              <w:gridCol w:w="564"/>
              <w:gridCol w:w="564"/>
              <w:gridCol w:w="564"/>
              <w:gridCol w:w="543"/>
            </w:tblGrid>
            <w:tr w:rsidR="00AF10E3" w:rsidRPr="005E583B" w:rsidTr="00D5329F">
              <w:trPr>
                <w:trHeight w:val="582"/>
              </w:trPr>
              <w:tc>
                <w:tcPr>
                  <w:tcW w:w="296" w:type="pct"/>
                  <w:vMerge w:val="restart"/>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proofErr w:type="spellStart"/>
                  <w:r w:rsidRPr="00C123BF">
                    <w:rPr>
                      <w:rFonts w:ascii="Times New Roman" w:eastAsia="Calibri" w:hAnsi="Times New Roman" w:cs="Times New Roman"/>
                      <w:sz w:val="12"/>
                      <w:szCs w:val="12"/>
                      <w:lang w:val="uk-UA" w:eastAsia="ru-RU"/>
                    </w:rPr>
                    <w:t>Впорядкуваня</w:t>
                  </w:r>
                  <w:proofErr w:type="spellEnd"/>
                </w:p>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та розвиток</w:t>
                  </w:r>
                </w:p>
                <w:p w:rsidR="00AF10E3" w:rsidRPr="00C123BF" w:rsidRDefault="00AF10E3" w:rsidP="00AF10E3">
                  <w:pPr>
                    <w:spacing w:after="0" w:line="240" w:lineRule="auto"/>
                    <w:rPr>
                      <w:rFonts w:ascii="Times New Roman" w:eastAsia="Calibri" w:hAnsi="Times New Roman" w:cs="Times New Roman"/>
                      <w:sz w:val="12"/>
                      <w:szCs w:val="12"/>
                      <w:lang w:val="uk-UA" w:eastAsia="ru-RU"/>
                    </w:rPr>
                  </w:pPr>
                  <w:proofErr w:type="spellStart"/>
                  <w:r w:rsidRPr="00C123BF">
                    <w:rPr>
                      <w:rFonts w:ascii="Times New Roman" w:eastAsia="Calibri" w:hAnsi="Times New Roman" w:cs="Times New Roman"/>
                      <w:sz w:val="12"/>
                      <w:szCs w:val="12"/>
                      <w:lang w:val="uk-UA" w:eastAsia="ru-RU"/>
                    </w:rPr>
                    <w:t>піблічного</w:t>
                  </w:r>
                  <w:proofErr w:type="spellEnd"/>
                  <w:r w:rsidRPr="00C123BF">
                    <w:rPr>
                      <w:rFonts w:ascii="Times New Roman" w:eastAsia="Calibri" w:hAnsi="Times New Roman" w:cs="Times New Roman"/>
                      <w:sz w:val="12"/>
                      <w:szCs w:val="12"/>
                      <w:lang w:val="uk-UA" w:eastAsia="ru-RU"/>
                    </w:rPr>
                    <w:t xml:space="preserve"> </w:t>
                  </w:r>
                </w:p>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простору</w:t>
                  </w:r>
                </w:p>
              </w:tc>
              <w:tc>
                <w:tcPr>
                  <w:tcW w:w="369" w:type="pct"/>
                  <w:vMerge w:val="restart"/>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1.1. Житловий фонд і благоустрій прибудинкової території</w:t>
                  </w:r>
                </w:p>
              </w:tc>
              <w:tc>
                <w:tcPr>
                  <w:tcW w:w="455" w:type="pct"/>
                  <w:vMerge w:val="restart"/>
                  <w:shd w:val="clear" w:color="auto" w:fill="auto"/>
                  <w:tcMar>
                    <w:top w:w="28" w:type="dxa"/>
                    <w:left w:w="57" w:type="dxa"/>
                    <w:bottom w:w="28" w:type="dxa"/>
                    <w:right w:w="57" w:type="dxa"/>
                  </w:tcMar>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 xml:space="preserve">1.1.12. Облаштування ігрових і спортивних майданчиків, утримання асфальтового покриття прибудинкових територій житлових будинків і </w:t>
                  </w:r>
                  <w:proofErr w:type="spellStart"/>
                  <w:r w:rsidRPr="00C123BF">
                    <w:rPr>
                      <w:rFonts w:ascii="Times New Roman" w:eastAsia="Calibri" w:hAnsi="Times New Roman" w:cs="Times New Roman"/>
                      <w:sz w:val="12"/>
                      <w:szCs w:val="12"/>
                      <w:lang w:val="uk-UA" w:eastAsia="ru-RU"/>
                    </w:rPr>
                    <w:t>внутрішньоквартальних</w:t>
                  </w:r>
                  <w:proofErr w:type="spellEnd"/>
                  <w:r w:rsidRPr="00C123BF">
                    <w:rPr>
                      <w:rFonts w:ascii="Times New Roman" w:eastAsia="Calibri" w:hAnsi="Times New Roman" w:cs="Times New Roman"/>
                      <w:sz w:val="12"/>
                      <w:szCs w:val="12"/>
                      <w:lang w:val="uk-UA" w:eastAsia="ru-RU"/>
                    </w:rPr>
                    <w:t xml:space="preserve"> проїздів, капітальний ремонт </w:t>
                  </w:r>
                  <w:proofErr w:type="spellStart"/>
                  <w:r w:rsidRPr="00C123BF">
                    <w:rPr>
                      <w:rFonts w:ascii="Times New Roman" w:eastAsia="Calibri" w:hAnsi="Times New Roman" w:cs="Times New Roman"/>
                      <w:sz w:val="12"/>
                      <w:szCs w:val="12"/>
                      <w:lang w:val="uk-UA" w:eastAsia="ru-RU"/>
                    </w:rPr>
                    <w:t>зливоприймальних</w:t>
                  </w:r>
                  <w:proofErr w:type="spellEnd"/>
                  <w:r w:rsidRPr="00C123BF">
                    <w:rPr>
                      <w:rFonts w:ascii="Times New Roman" w:eastAsia="Calibri" w:hAnsi="Times New Roman" w:cs="Times New Roman"/>
                      <w:sz w:val="12"/>
                      <w:szCs w:val="12"/>
                      <w:lang w:val="uk-UA" w:eastAsia="ru-RU"/>
                    </w:rPr>
                    <w:t xml:space="preserve"> мереж (без фінансової участі співвласників) (перелік об'єктів затверджується щорічно відповідним </w:t>
                  </w:r>
                  <w:r w:rsidRPr="00C123BF">
                    <w:rPr>
                      <w:rFonts w:ascii="Times New Roman" w:eastAsia="Calibri" w:hAnsi="Times New Roman" w:cs="Times New Roman"/>
                      <w:sz w:val="12"/>
                      <w:szCs w:val="12"/>
                      <w:lang w:val="uk-UA" w:eastAsia="ru-RU"/>
                    </w:rPr>
                    <w:lastRenderedPageBreak/>
                    <w:t>розпорядчим актом)</w:t>
                  </w:r>
                </w:p>
              </w:tc>
              <w:tc>
                <w:tcPr>
                  <w:tcW w:w="273" w:type="pct"/>
                  <w:vMerge w:val="restart"/>
                  <w:shd w:val="clear" w:color="auto" w:fill="auto"/>
                  <w:tcMar>
                    <w:top w:w="28" w:type="dxa"/>
                    <w:left w:w="57" w:type="dxa"/>
                    <w:bottom w:w="28" w:type="dxa"/>
                    <w:right w:w="57" w:type="dxa"/>
                  </w:tcMar>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lastRenderedPageBreak/>
                    <w:t>2021-2025</w:t>
                  </w:r>
                </w:p>
              </w:tc>
              <w:tc>
                <w:tcPr>
                  <w:tcW w:w="548" w:type="pct"/>
                  <w:vMerge w:val="restart"/>
                  <w:shd w:val="clear" w:color="auto" w:fill="auto"/>
                  <w:tcMar>
                    <w:top w:w="28" w:type="dxa"/>
                    <w:left w:w="57" w:type="dxa"/>
                    <w:bottom w:w="28" w:type="dxa"/>
                    <w:right w:w="57" w:type="dxa"/>
                  </w:tcMar>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Департамент житлово-комунальної інфраструктури,</w:t>
                  </w:r>
                </w:p>
                <w:p w:rsidR="00AF10E3" w:rsidRPr="00C123BF" w:rsidRDefault="00AF10E3" w:rsidP="00AF10E3">
                  <w:pPr>
                    <w:spacing w:after="0" w:line="240" w:lineRule="auto"/>
                    <w:rPr>
                      <w:rFonts w:ascii="Times New Roman" w:eastAsia="Calibri" w:hAnsi="Times New Roman" w:cs="Times New Roman"/>
                      <w:sz w:val="12"/>
                      <w:szCs w:val="12"/>
                      <w:lang w:val="uk-UA" w:eastAsia="ru-RU"/>
                    </w:rPr>
                  </w:pPr>
                </w:p>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Районі в м. Києві державні адміністрації</w:t>
                  </w:r>
                </w:p>
                <w:p w:rsidR="00AF10E3" w:rsidRPr="00C123BF" w:rsidRDefault="00AF10E3" w:rsidP="00AF10E3">
                  <w:pPr>
                    <w:spacing w:after="0" w:line="240" w:lineRule="auto"/>
                    <w:rPr>
                      <w:rFonts w:ascii="Times New Roman" w:eastAsia="Calibri" w:hAnsi="Times New Roman" w:cs="Times New Roman"/>
                      <w:sz w:val="12"/>
                      <w:szCs w:val="12"/>
                      <w:lang w:val="uk-UA" w:eastAsia="ru-RU"/>
                    </w:rPr>
                  </w:pPr>
                </w:p>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2" w:type="pct"/>
                  <w:vMerge w:val="restart"/>
                  <w:shd w:val="clear" w:color="auto" w:fill="auto"/>
                  <w:tcMar>
                    <w:top w:w="28" w:type="dxa"/>
                    <w:left w:w="57" w:type="dxa"/>
                    <w:bottom w:w="28" w:type="dxa"/>
                    <w:right w:w="57" w:type="dxa"/>
                  </w:tcMar>
                  <w:vAlign w:val="cente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Бюджет м. Києва</w:t>
                  </w:r>
                </w:p>
              </w:tc>
              <w:tc>
                <w:tcPr>
                  <w:tcW w:w="453" w:type="pct"/>
                  <w:vMerge w:val="restart"/>
                  <w:shd w:val="clear" w:color="auto" w:fill="auto"/>
                  <w:tcMar>
                    <w:top w:w="28" w:type="dxa"/>
                    <w:left w:w="57" w:type="dxa"/>
                    <w:bottom w:w="28" w:type="dxa"/>
                    <w:right w:w="57" w:type="dxa"/>
                  </w:tcMar>
                  <w:vAlign w:val="center"/>
                </w:tcPr>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Всього: 3146724,21</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2021 - 653206,21</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2022 - 457168,00</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2023 - 615350,00</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2024 - 676700,00</w:t>
                  </w:r>
                </w:p>
                <w:p w:rsidR="00AF10E3" w:rsidRPr="00313693"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hAnsi="Times New Roman" w:cs="Times New Roman"/>
                      <w:color w:val="000000"/>
                      <w:sz w:val="12"/>
                      <w:szCs w:val="12"/>
                      <w:lang w:val="uk-UA"/>
                    </w:rPr>
                    <w:t>2025 - 744300,00</w:t>
                  </w:r>
                </w:p>
              </w:tc>
              <w:tc>
                <w:tcPr>
                  <w:tcW w:w="542" w:type="pct"/>
                  <w:vAlign w:val="center"/>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витрат: </w:t>
                  </w:r>
                  <w:r w:rsidRPr="002454C6">
                    <w:rPr>
                      <w:rFonts w:ascii="Times New Roman" w:hAnsi="Times New Roman" w:cs="Times New Roman"/>
                      <w:color w:val="000000"/>
                      <w:sz w:val="12"/>
                      <w:szCs w:val="12"/>
                      <w:lang w:val="uk-UA"/>
                    </w:rPr>
                    <w:t>обсяг фінансування, тис. грн</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653206,21</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457168,00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615350,00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676700,00</w:t>
                  </w:r>
                </w:p>
              </w:tc>
              <w:tc>
                <w:tcPr>
                  <w:tcW w:w="348" w:type="pct"/>
                  <w:shd w:val="clear" w:color="auto" w:fill="auto"/>
                  <w:vAlign w:val="center"/>
                </w:tcPr>
                <w:p w:rsidR="00AF10E3" w:rsidRPr="0058051E" w:rsidRDefault="00AF10E3" w:rsidP="00AF10E3">
                  <w:pPr>
                    <w:widowControl w:val="0"/>
                    <w:jc w:val="both"/>
                    <w:rPr>
                      <w:rFonts w:ascii="Times New Roman" w:hAnsi="Times New Roman" w:cs="Times New Roman"/>
                      <w:color w:val="000000"/>
                      <w:sz w:val="12"/>
                      <w:szCs w:val="12"/>
                      <w:lang w:val="uk-UA"/>
                    </w:rPr>
                  </w:pPr>
                  <w:bookmarkStart w:id="1" w:name="1027"/>
                  <w:bookmarkEnd w:id="1"/>
                  <w:r w:rsidRPr="005E583B">
                    <w:rPr>
                      <w:rFonts w:ascii="Times New Roman" w:hAnsi="Times New Roman" w:cs="Times New Roman"/>
                      <w:color w:val="000000"/>
                      <w:sz w:val="12"/>
                      <w:szCs w:val="12"/>
                      <w:lang w:val="uk-UA"/>
                    </w:rPr>
                    <w:t>744300,0</w:t>
                  </w:r>
                </w:p>
              </w:tc>
            </w:tr>
            <w:tr w:rsidR="00AF10E3" w:rsidRPr="00313693" w:rsidTr="00D5329F">
              <w:trPr>
                <w:trHeight w:val="892"/>
              </w:trPr>
              <w:tc>
                <w:tcPr>
                  <w:tcW w:w="296"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9"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55"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8"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2" w:type="pct"/>
                  <w:vAlign w:val="center"/>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продукту: </w:t>
                  </w:r>
                  <w:r w:rsidRPr="002454C6">
                    <w:rPr>
                      <w:rFonts w:ascii="Times New Roman" w:hAnsi="Times New Roman" w:cs="Times New Roman"/>
                      <w:color w:val="000000"/>
                      <w:sz w:val="12"/>
                      <w:szCs w:val="12"/>
                      <w:lang w:val="uk-UA"/>
                    </w:rPr>
                    <w:t>кількість об'єктів</w:t>
                  </w:r>
                </w:p>
              </w:tc>
              <w:tc>
                <w:tcPr>
                  <w:tcW w:w="361" w:type="pct"/>
                  <w:vAlign w:val="center"/>
                </w:tcPr>
                <w:p w:rsidR="00AF10E3" w:rsidRPr="00B636F0" w:rsidRDefault="00AF10E3" w:rsidP="00AF10E3">
                  <w:pPr>
                    <w:widowControl w:val="0"/>
                    <w:jc w:val="both"/>
                    <w:rPr>
                      <w:rFonts w:eastAsia="Calibri"/>
                      <w:sz w:val="16"/>
                      <w:szCs w:val="16"/>
                      <w:lang w:val="uk-UA"/>
                    </w:rPr>
                  </w:pPr>
                  <w:r w:rsidRPr="005E583B">
                    <w:rPr>
                      <w:rFonts w:ascii="Times New Roman" w:hAnsi="Times New Roman" w:cs="Times New Roman"/>
                      <w:color w:val="000000"/>
                      <w:sz w:val="12"/>
                      <w:szCs w:val="12"/>
                      <w:lang w:val="uk-UA"/>
                    </w:rPr>
                    <w:t>620,90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417</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580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604</w:t>
                  </w:r>
                </w:p>
              </w:tc>
              <w:tc>
                <w:tcPr>
                  <w:tcW w:w="348" w:type="pct"/>
                  <w:shd w:val="clear" w:color="auto" w:fill="auto"/>
                  <w:vAlign w:val="center"/>
                </w:tcPr>
                <w:p w:rsidR="00AF10E3" w:rsidRPr="0058051E" w:rsidRDefault="00AF10E3" w:rsidP="00AF10E3">
                  <w:pPr>
                    <w:widowControl w:val="0"/>
                    <w:jc w:val="both"/>
                    <w:rPr>
                      <w:rFonts w:ascii="Times New Roman" w:hAnsi="Times New Roman" w:cs="Times New Roman"/>
                      <w:color w:val="000000"/>
                      <w:sz w:val="12"/>
                      <w:szCs w:val="12"/>
                      <w:lang w:val="uk-UA"/>
                    </w:rPr>
                  </w:pPr>
                  <w:bookmarkStart w:id="2" w:name="1033"/>
                  <w:bookmarkEnd w:id="2"/>
                  <w:r w:rsidRPr="005E583B">
                    <w:rPr>
                      <w:rFonts w:ascii="Times New Roman" w:hAnsi="Times New Roman" w:cs="Times New Roman"/>
                      <w:color w:val="000000"/>
                      <w:sz w:val="12"/>
                      <w:szCs w:val="12"/>
                      <w:lang w:val="uk-UA"/>
                    </w:rPr>
                    <w:t>638</w:t>
                  </w:r>
                </w:p>
              </w:tc>
            </w:tr>
            <w:tr w:rsidR="00AF10E3" w:rsidRPr="00313693" w:rsidTr="00D5329F">
              <w:trPr>
                <w:trHeight w:val="1139"/>
              </w:trPr>
              <w:tc>
                <w:tcPr>
                  <w:tcW w:w="296"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9"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55"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8"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2" w:type="pct"/>
                  <w:vAlign w:val="center"/>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ефективності: </w:t>
                  </w:r>
                  <w:r w:rsidRPr="002454C6">
                    <w:rPr>
                      <w:rFonts w:ascii="Times New Roman" w:hAnsi="Times New Roman" w:cs="Times New Roman"/>
                      <w:color w:val="000000"/>
                      <w:sz w:val="12"/>
                      <w:szCs w:val="12"/>
                      <w:lang w:val="uk-UA"/>
                    </w:rPr>
                    <w:t>середня вартість відновлення асфальтового покриття, тис. грн</w:t>
                  </w:r>
                </w:p>
              </w:tc>
              <w:tc>
                <w:tcPr>
                  <w:tcW w:w="361" w:type="pct"/>
                  <w:vAlign w:val="center"/>
                </w:tcPr>
                <w:p w:rsidR="00AF10E3" w:rsidRPr="00B636F0" w:rsidRDefault="00AF10E3" w:rsidP="00AF10E3">
                  <w:pPr>
                    <w:widowControl w:val="0"/>
                    <w:jc w:val="both"/>
                    <w:rPr>
                      <w:rFonts w:eastAsia="Calibri"/>
                      <w:sz w:val="16"/>
                      <w:szCs w:val="16"/>
                      <w:lang w:val="uk-UA"/>
                    </w:rPr>
                  </w:pPr>
                  <w:r w:rsidRPr="005E583B">
                    <w:rPr>
                      <w:rFonts w:ascii="Times New Roman" w:hAnsi="Times New Roman" w:cs="Times New Roman"/>
                      <w:color w:val="000000"/>
                      <w:sz w:val="12"/>
                      <w:szCs w:val="12"/>
                      <w:lang w:val="uk-UA"/>
                    </w:rPr>
                    <w:t>1000,01</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994,00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995,00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1050,00</w:t>
                  </w:r>
                </w:p>
              </w:tc>
              <w:tc>
                <w:tcPr>
                  <w:tcW w:w="348" w:type="pct"/>
                  <w:shd w:val="clear" w:color="auto" w:fill="auto"/>
                  <w:vAlign w:val="center"/>
                </w:tcPr>
                <w:p w:rsidR="00AF10E3" w:rsidRPr="0058051E" w:rsidRDefault="00AF10E3" w:rsidP="00AF10E3">
                  <w:pPr>
                    <w:widowControl w:val="0"/>
                    <w:jc w:val="both"/>
                    <w:rPr>
                      <w:rFonts w:ascii="Times New Roman" w:hAnsi="Times New Roman" w:cs="Times New Roman"/>
                      <w:color w:val="000000"/>
                      <w:sz w:val="12"/>
                      <w:szCs w:val="12"/>
                      <w:lang w:val="uk-UA"/>
                    </w:rPr>
                  </w:pPr>
                  <w:bookmarkStart w:id="3" w:name="1039"/>
                  <w:bookmarkEnd w:id="3"/>
                  <w:r w:rsidRPr="005E583B">
                    <w:rPr>
                      <w:rFonts w:ascii="Times New Roman" w:hAnsi="Times New Roman" w:cs="Times New Roman"/>
                      <w:color w:val="000000"/>
                      <w:sz w:val="12"/>
                      <w:szCs w:val="12"/>
                      <w:lang w:val="uk-UA"/>
                    </w:rPr>
                    <w:t>1100,00</w:t>
                  </w:r>
                </w:p>
              </w:tc>
            </w:tr>
            <w:tr w:rsidR="00AF10E3" w:rsidRPr="00313693" w:rsidTr="00D5329F">
              <w:trPr>
                <w:trHeight w:val="124"/>
              </w:trPr>
              <w:tc>
                <w:tcPr>
                  <w:tcW w:w="296"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9"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55"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3"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8"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53"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2" w:type="pct"/>
                  <w:vAlign w:val="center"/>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якості: </w:t>
                  </w:r>
                  <w:r w:rsidRPr="002454C6">
                    <w:rPr>
                      <w:rFonts w:ascii="Times New Roman" w:hAnsi="Times New Roman" w:cs="Times New Roman"/>
                      <w:color w:val="000000"/>
                      <w:sz w:val="12"/>
                      <w:szCs w:val="12"/>
                      <w:lang w:val="uk-UA"/>
                    </w:rPr>
                    <w:t>питома вага робіт з асфальтування до запланованих робіт, %</w:t>
                  </w:r>
                </w:p>
              </w:tc>
              <w:tc>
                <w:tcPr>
                  <w:tcW w:w="361" w:type="pct"/>
                  <w:vAlign w:val="center"/>
                </w:tcPr>
                <w:p w:rsidR="00AF10E3" w:rsidRPr="002454C6" w:rsidRDefault="00AF10E3" w:rsidP="00AF10E3">
                  <w:pPr>
                    <w:widowControl w:val="0"/>
                    <w:jc w:val="both"/>
                    <w:rPr>
                      <w:rFonts w:ascii="Times New Roman" w:hAnsi="Times New Roman" w:cs="Times New Roman"/>
                      <w:color w:val="000000"/>
                      <w:sz w:val="12"/>
                      <w:szCs w:val="12"/>
                      <w:lang w:val="uk-UA"/>
                    </w:rPr>
                  </w:pPr>
                  <w:r w:rsidRPr="002454C6">
                    <w:rPr>
                      <w:rFonts w:ascii="Times New Roman" w:hAnsi="Times New Roman" w:cs="Times New Roman"/>
                      <w:color w:val="000000"/>
                      <w:sz w:val="12"/>
                      <w:szCs w:val="12"/>
                      <w:lang w:val="uk-UA"/>
                    </w:rPr>
                    <w:t>100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100</w:t>
                  </w:r>
                </w:p>
              </w:tc>
              <w:tc>
                <w:tcPr>
                  <w:tcW w:w="348" w:type="pct"/>
                  <w:shd w:val="clear" w:color="auto" w:fill="auto"/>
                  <w:vAlign w:val="center"/>
                </w:tcPr>
                <w:p w:rsidR="00AF10E3" w:rsidRPr="0058051E" w:rsidRDefault="00AF10E3" w:rsidP="00AF10E3">
                  <w:pPr>
                    <w:widowControl w:val="0"/>
                    <w:spacing w:line="240" w:lineRule="auto"/>
                    <w:ind w:left="-62" w:right="-54"/>
                    <w:jc w:val="center"/>
                    <w:rPr>
                      <w:rFonts w:ascii="Times New Roman" w:hAnsi="Times New Roman" w:cs="Times New Roman"/>
                      <w:color w:val="000000"/>
                      <w:sz w:val="12"/>
                      <w:szCs w:val="12"/>
                      <w:lang w:val="uk-UA"/>
                    </w:rPr>
                  </w:pPr>
                  <w:bookmarkStart w:id="4" w:name="1045"/>
                  <w:bookmarkEnd w:id="4"/>
                  <w:r>
                    <w:rPr>
                      <w:rFonts w:ascii="Times New Roman" w:hAnsi="Times New Roman" w:cs="Times New Roman"/>
                      <w:color w:val="000000"/>
                      <w:sz w:val="12"/>
                      <w:szCs w:val="12"/>
                      <w:lang w:val="uk-UA"/>
                    </w:rPr>
                    <w:t>100</w:t>
                  </w:r>
                </w:p>
              </w:tc>
            </w:tr>
            <w:tr w:rsidR="00AF10E3" w:rsidRPr="00313693" w:rsidTr="00D5329F">
              <w:trPr>
                <w:trHeight w:val="124"/>
              </w:trPr>
              <w:tc>
                <w:tcPr>
                  <w:tcW w:w="296" w:type="pct"/>
                  <w:vMerge/>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369" w:type="pct"/>
                  <w:vMerge/>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455"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273"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548"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272"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453"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542" w:type="pct"/>
                  <w:vAlign w:val="center"/>
                </w:tcPr>
                <w:p w:rsidR="00AF10E3" w:rsidRPr="002454C6" w:rsidRDefault="00AF10E3" w:rsidP="00AF10E3">
                  <w:pPr>
                    <w:widowControl w:val="0"/>
                    <w:spacing w:after="100" w:afterAutospacing="1"/>
                    <w:jc w:val="both"/>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продукту: </w:t>
                  </w:r>
                  <w:r w:rsidRPr="002454C6">
                    <w:rPr>
                      <w:rFonts w:ascii="Times New Roman" w:hAnsi="Times New Roman" w:cs="Times New Roman"/>
                      <w:color w:val="000000"/>
                      <w:sz w:val="12"/>
                      <w:szCs w:val="12"/>
                      <w:lang w:val="uk-UA"/>
                    </w:rPr>
                    <w:t>кількість майданчиків, що планується облаштувати, од.</w:t>
                  </w:r>
                </w:p>
              </w:tc>
              <w:tc>
                <w:tcPr>
                  <w:tcW w:w="361" w:type="pct"/>
                  <w:vAlign w:val="center"/>
                </w:tcPr>
                <w:p w:rsidR="00AF10E3" w:rsidRPr="002454C6" w:rsidRDefault="00AF10E3" w:rsidP="00AF10E3">
                  <w:pPr>
                    <w:widowControl w:val="0"/>
                    <w:jc w:val="both"/>
                    <w:rPr>
                      <w:rFonts w:ascii="Times New Roman" w:hAnsi="Times New Roman" w:cs="Times New Roman"/>
                      <w:color w:val="000000"/>
                      <w:sz w:val="12"/>
                      <w:szCs w:val="12"/>
                      <w:lang w:val="uk-UA"/>
                    </w:rPr>
                  </w:pPr>
                  <w:r w:rsidRPr="002454C6">
                    <w:rPr>
                      <w:rFonts w:ascii="Times New Roman" w:hAnsi="Times New Roman" w:cs="Times New Roman"/>
                      <w:color w:val="000000"/>
                      <w:sz w:val="12"/>
                      <w:szCs w:val="12"/>
                      <w:lang w:val="uk-UA"/>
                    </w:rPr>
                    <w:t>190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251</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225</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250</w:t>
                  </w:r>
                </w:p>
              </w:tc>
              <w:tc>
                <w:tcPr>
                  <w:tcW w:w="348" w:type="pct"/>
                  <w:shd w:val="clear" w:color="auto" w:fill="auto"/>
                  <w:vAlign w:val="center"/>
                </w:tcPr>
                <w:p w:rsidR="00AF10E3" w:rsidRPr="0058051E" w:rsidRDefault="00AF10E3" w:rsidP="00AF10E3">
                  <w:pPr>
                    <w:widowControl w:val="0"/>
                    <w:spacing w:line="240" w:lineRule="auto"/>
                    <w:ind w:left="-62" w:right="-54"/>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250</w:t>
                  </w:r>
                </w:p>
              </w:tc>
            </w:tr>
            <w:tr w:rsidR="00AF10E3" w:rsidRPr="005E583B" w:rsidTr="00D5329F">
              <w:trPr>
                <w:trHeight w:val="124"/>
              </w:trPr>
              <w:tc>
                <w:tcPr>
                  <w:tcW w:w="296" w:type="pct"/>
                  <w:vMerge/>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369" w:type="pct"/>
                  <w:vMerge/>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455"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273"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548"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272"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453"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542" w:type="pct"/>
                  <w:vAlign w:val="center"/>
                </w:tcPr>
                <w:p w:rsidR="00AF10E3" w:rsidRPr="002454C6" w:rsidRDefault="00AF10E3" w:rsidP="00AF10E3">
                  <w:pPr>
                    <w:widowControl w:val="0"/>
                    <w:spacing w:after="100" w:afterAutospacing="1"/>
                    <w:jc w:val="both"/>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ефективності: </w:t>
                  </w:r>
                  <w:r w:rsidRPr="002454C6">
                    <w:rPr>
                      <w:rFonts w:ascii="Times New Roman" w:hAnsi="Times New Roman" w:cs="Times New Roman"/>
                      <w:color w:val="000000"/>
                      <w:sz w:val="12"/>
                      <w:szCs w:val="12"/>
                      <w:lang w:val="uk-UA"/>
                    </w:rPr>
                    <w:t xml:space="preserve">середня вартість влаштування </w:t>
                  </w:r>
                  <w:r w:rsidRPr="002454C6">
                    <w:rPr>
                      <w:rFonts w:ascii="Times New Roman" w:hAnsi="Times New Roman" w:cs="Times New Roman"/>
                      <w:color w:val="000000"/>
                      <w:sz w:val="12"/>
                      <w:szCs w:val="12"/>
                      <w:lang w:val="uk-UA"/>
                    </w:rPr>
                    <w:lastRenderedPageBreak/>
                    <w:t>одного майданчика, тис. грн</w:t>
                  </w:r>
                </w:p>
              </w:tc>
              <w:tc>
                <w:tcPr>
                  <w:tcW w:w="361" w:type="pct"/>
                  <w:vAlign w:val="center"/>
                </w:tcPr>
                <w:p w:rsidR="00AF10E3" w:rsidRPr="002454C6" w:rsidRDefault="00AF10E3" w:rsidP="00AF10E3">
                  <w:pPr>
                    <w:widowControl w:val="0"/>
                    <w:jc w:val="both"/>
                    <w:rPr>
                      <w:rFonts w:ascii="Times New Roman" w:hAnsi="Times New Roman" w:cs="Times New Roman"/>
                      <w:color w:val="000000"/>
                      <w:sz w:val="12"/>
                      <w:szCs w:val="12"/>
                      <w:lang w:val="uk-UA"/>
                    </w:rPr>
                  </w:pPr>
                  <w:r w:rsidRPr="002454C6">
                    <w:rPr>
                      <w:rFonts w:ascii="Times New Roman" w:hAnsi="Times New Roman" w:cs="Times New Roman"/>
                      <w:color w:val="000000"/>
                      <w:sz w:val="12"/>
                      <w:szCs w:val="12"/>
                      <w:lang w:val="uk-UA"/>
                    </w:rPr>
                    <w:lastRenderedPageBreak/>
                    <w:t>170,00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170,00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170,00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170,00</w:t>
                  </w:r>
                </w:p>
              </w:tc>
              <w:tc>
                <w:tcPr>
                  <w:tcW w:w="348" w:type="pct"/>
                  <w:shd w:val="clear" w:color="auto" w:fill="auto"/>
                  <w:vAlign w:val="center"/>
                </w:tcPr>
                <w:p w:rsidR="00AF10E3" w:rsidRPr="005E583B" w:rsidRDefault="00AF10E3" w:rsidP="00AF10E3">
                  <w:pPr>
                    <w:widowControl w:val="0"/>
                    <w:spacing w:line="240" w:lineRule="auto"/>
                    <w:ind w:left="-62" w:right="-54"/>
                    <w:jc w:val="center"/>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170,00</w:t>
                  </w:r>
                </w:p>
              </w:tc>
            </w:tr>
            <w:tr w:rsidR="00AF10E3" w:rsidRPr="0058051E" w:rsidTr="00D5329F">
              <w:trPr>
                <w:trHeight w:val="1633"/>
              </w:trPr>
              <w:tc>
                <w:tcPr>
                  <w:tcW w:w="296" w:type="pct"/>
                  <w:vMerge/>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369" w:type="pct"/>
                  <w:vMerge/>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455"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rPr>
                      <w:rFonts w:ascii="Times New Roman" w:hAnsi="Times New Roman" w:cs="Times New Roman"/>
                      <w:b/>
                      <w:color w:val="000000"/>
                      <w:sz w:val="12"/>
                      <w:szCs w:val="12"/>
                      <w:lang w:val="uk-UA"/>
                    </w:rPr>
                  </w:pPr>
                </w:p>
              </w:tc>
              <w:tc>
                <w:tcPr>
                  <w:tcW w:w="273"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548"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272"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453" w:type="pct"/>
                  <w:vMerge/>
                  <w:shd w:val="clear" w:color="auto" w:fill="auto"/>
                  <w:tcMar>
                    <w:top w:w="28" w:type="dxa"/>
                    <w:left w:w="57" w:type="dxa"/>
                    <w:bottom w:w="28" w:type="dxa"/>
                    <w:right w:w="57" w:type="dxa"/>
                  </w:tcMar>
                </w:tcPr>
                <w:p w:rsidR="00AF10E3" w:rsidRPr="002454C6" w:rsidRDefault="00AF10E3" w:rsidP="00AF10E3">
                  <w:pPr>
                    <w:widowControl w:val="0"/>
                    <w:spacing w:after="100" w:afterAutospacing="1" w:line="240" w:lineRule="auto"/>
                    <w:jc w:val="center"/>
                    <w:rPr>
                      <w:rFonts w:ascii="Times New Roman" w:hAnsi="Times New Roman" w:cs="Times New Roman"/>
                      <w:b/>
                      <w:color w:val="000000"/>
                      <w:sz w:val="12"/>
                      <w:szCs w:val="12"/>
                      <w:lang w:val="uk-UA"/>
                    </w:rPr>
                  </w:pPr>
                </w:p>
              </w:tc>
              <w:tc>
                <w:tcPr>
                  <w:tcW w:w="542" w:type="pct"/>
                  <w:vAlign w:val="center"/>
                </w:tcPr>
                <w:p w:rsidR="00AF10E3" w:rsidRPr="002454C6" w:rsidRDefault="00AF10E3" w:rsidP="00AF10E3">
                  <w:pPr>
                    <w:widowControl w:val="0"/>
                    <w:spacing w:after="100" w:afterAutospacing="1"/>
                    <w:jc w:val="both"/>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якості: </w:t>
                  </w:r>
                  <w:r w:rsidRPr="002454C6">
                    <w:rPr>
                      <w:rFonts w:ascii="Times New Roman" w:hAnsi="Times New Roman" w:cs="Times New Roman"/>
                      <w:color w:val="000000"/>
                      <w:sz w:val="12"/>
                      <w:szCs w:val="12"/>
                      <w:lang w:val="uk-UA"/>
                    </w:rPr>
                    <w:t>питома вага кількості майданчиків, що планується влаштувати, до кількості майданчиків, що потребує влаштування, %</w:t>
                  </w:r>
                </w:p>
              </w:tc>
              <w:tc>
                <w:tcPr>
                  <w:tcW w:w="361" w:type="pct"/>
                  <w:vAlign w:val="center"/>
                </w:tcPr>
                <w:p w:rsidR="00AF10E3" w:rsidRPr="002454C6" w:rsidRDefault="00AF10E3" w:rsidP="00AF10E3">
                  <w:pPr>
                    <w:widowControl w:val="0"/>
                    <w:jc w:val="both"/>
                    <w:rPr>
                      <w:rFonts w:ascii="Times New Roman" w:hAnsi="Times New Roman" w:cs="Times New Roman"/>
                      <w:color w:val="000000"/>
                      <w:sz w:val="12"/>
                      <w:szCs w:val="12"/>
                      <w:lang w:val="uk-UA"/>
                    </w:rPr>
                  </w:pPr>
                  <w:r w:rsidRPr="002454C6">
                    <w:rPr>
                      <w:rFonts w:ascii="Times New Roman" w:hAnsi="Times New Roman" w:cs="Times New Roman"/>
                      <w:color w:val="000000"/>
                      <w:sz w:val="12"/>
                      <w:szCs w:val="12"/>
                      <w:lang w:val="uk-UA"/>
                    </w:rPr>
                    <w:t>100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100</w:t>
                  </w:r>
                </w:p>
              </w:tc>
              <w:tc>
                <w:tcPr>
                  <w:tcW w:w="361" w:type="pct"/>
                  <w:vAlign w:val="center"/>
                </w:tcPr>
                <w:p w:rsidR="00AF10E3" w:rsidRPr="005E583B" w:rsidRDefault="00AF10E3" w:rsidP="00AF10E3">
                  <w:pPr>
                    <w:widowControl w:val="0"/>
                    <w:jc w:val="both"/>
                    <w:rPr>
                      <w:rFonts w:ascii="Times New Roman" w:hAnsi="Times New Roman" w:cs="Times New Roman"/>
                      <w:color w:val="000000"/>
                      <w:sz w:val="12"/>
                      <w:szCs w:val="12"/>
                      <w:lang w:val="uk-UA"/>
                    </w:rPr>
                  </w:pPr>
                  <w:r w:rsidRPr="005E583B">
                    <w:rPr>
                      <w:rFonts w:ascii="Times New Roman" w:hAnsi="Times New Roman" w:cs="Times New Roman"/>
                      <w:color w:val="000000"/>
                      <w:sz w:val="12"/>
                      <w:szCs w:val="12"/>
                      <w:lang w:val="uk-UA"/>
                    </w:rPr>
                    <w:t>100</w:t>
                  </w:r>
                </w:p>
              </w:tc>
              <w:tc>
                <w:tcPr>
                  <w:tcW w:w="348" w:type="pct"/>
                  <w:shd w:val="clear" w:color="auto" w:fill="auto"/>
                  <w:vAlign w:val="center"/>
                </w:tcPr>
                <w:p w:rsidR="00AF10E3" w:rsidRPr="00B636F0" w:rsidRDefault="00AF10E3" w:rsidP="00AF10E3">
                  <w:pPr>
                    <w:widowControl w:val="0"/>
                    <w:spacing w:line="240" w:lineRule="auto"/>
                    <w:ind w:left="-62" w:right="-54"/>
                    <w:jc w:val="center"/>
                    <w:rPr>
                      <w:rFonts w:eastAsia="Calibri"/>
                      <w:sz w:val="16"/>
                      <w:szCs w:val="16"/>
                      <w:lang w:val="uk-UA"/>
                    </w:rPr>
                  </w:pPr>
                  <w:r w:rsidRPr="005E583B">
                    <w:rPr>
                      <w:rFonts w:ascii="Times New Roman" w:hAnsi="Times New Roman" w:cs="Times New Roman"/>
                      <w:color w:val="000000"/>
                      <w:sz w:val="12"/>
                      <w:szCs w:val="12"/>
                      <w:lang w:val="uk-UA"/>
                    </w:rPr>
                    <w:t>100</w:t>
                  </w:r>
                </w:p>
              </w:tc>
            </w:tr>
          </w:tbl>
          <w:p w:rsidR="00AF10E3" w:rsidRPr="0078300C" w:rsidRDefault="00AF10E3" w:rsidP="00AF10E3">
            <w:pPr>
              <w:ind w:left="33"/>
              <w:rPr>
                <w:rFonts w:ascii="Times New Roman" w:eastAsia="Times New Roman" w:hAnsi="Times New Roman" w:cs="Times New Roman"/>
                <w:sz w:val="16"/>
                <w:szCs w:val="16"/>
                <w:shd w:val="clear" w:color="auto" w:fill="FFFFFF"/>
                <w:lang w:val="uk-UA" w:eastAsia="ru-RU"/>
              </w:rPr>
            </w:pPr>
          </w:p>
        </w:tc>
        <w:tc>
          <w:tcPr>
            <w:tcW w:w="8222" w:type="dxa"/>
          </w:tcPr>
          <w:p w:rsidR="00AF10E3" w:rsidRPr="00DB1111" w:rsidRDefault="00AF10E3" w:rsidP="00AF10E3">
            <w:pPr>
              <w:ind w:left="33"/>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2. </w:t>
            </w:r>
            <w:r w:rsidRPr="00C123BF">
              <w:rPr>
                <w:rFonts w:ascii="Times New Roman" w:hAnsi="Times New Roman" w:cs="Times New Roman"/>
                <w:sz w:val="26"/>
                <w:szCs w:val="26"/>
                <w:lang w:val="uk-UA"/>
              </w:rPr>
              <w:t>Позиці</w:t>
            </w:r>
            <w:r>
              <w:rPr>
                <w:rFonts w:ascii="Times New Roman" w:hAnsi="Times New Roman" w:cs="Times New Roman"/>
                <w:sz w:val="26"/>
                <w:szCs w:val="26"/>
                <w:lang w:val="uk-UA"/>
              </w:rPr>
              <w:t>я</w:t>
            </w:r>
            <w:r w:rsidRPr="00C123BF">
              <w:rPr>
                <w:rFonts w:ascii="Times New Roman" w:hAnsi="Times New Roman" w:cs="Times New Roman"/>
                <w:sz w:val="26"/>
                <w:szCs w:val="26"/>
                <w:lang w:val="uk-UA"/>
              </w:rPr>
              <w:t xml:space="preserve"> 1.1.12 пункту 1.1. «Облаштування ігрових і спортивних майданчиків, утримання асфальтового покриття прибудинкових територій житлових будинків і </w:t>
            </w:r>
            <w:proofErr w:type="spellStart"/>
            <w:r w:rsidRPr="00C123BF">
              <w:rPr>
                <w:rFonts w:ascii="Times New Roman" w:hAnsi="Times New Roman" w:cs="Times New Roman"/>
                <w:sz w:val="26"/>
                <w:szCs w:val="26"/>
                <w:lang w:val="uk-UA"/>
              </w:rPr>
              <w:t>внутрішньоквартальних</w:t>
            </w:r>
            <w:proofErr w:type="spellEnd"/>
            <w:r w:rsidRPr="00C123BF">
              <w:rPr>
                <w:rFonts w:ascii="Times New Roman" w:hAnsi="Times New Roman" w:cs="Times New Roman"/>
                <w:sz w:val="26"/>
                <w:szCs w:val="26"/>
                <w:lang w:val="uk-UA"/>
              </w:rPr>
              <w:t xml:space="preserve"> проїздів, капітальний ремонт </w:t>
            </w:r>
            <w:proofErr w:type="spellStart"/>
            <w:r w:rsidRPr="00C123BF">
              <w:rPr>
                <w:rFonts w:ascii="Times New Roman" w:hAnsi="Times New Roman" w:cs="Times New Roman"/>
                <w:sz w:val="26"/>
                <w:szCs w:val="26"/>
                <w:lang w:val="uk-UA"/>
              </w:rPr>
              <w:t>зливоприймальних</w:t>
            </w:r>
            <w:proofErr w:type="spellEnd"/>
            <w:r w:rsidRPr="00C123BF">
              <w:rPr>
                <w:rFonts w:ascii="Times New Roman" w:hAnsi="Times New Roman" w:cs="Times New Roman"/>
                <w:sz w:val="26"/>
                <w:szCs w:val="26"/>
                <w:lang w:val="uk-UA"/>
              </w:rPr>
              <w:t xml:space="preserve"> мереж (без фінансової участі співвласників) (перелік об'єктів затверджується щорічно відповідним розпорядчим актом)» розділу 1. «ТЕХНІЧНЕ ПЕРЕОСНАЩЕННЯ ТА ПІДВИЩЕННЯ ЕНЕРГОЕФЕКТИВНОСТІ У ГАЛУЗЯХ ЖИТЛОВО-КОМУНАЛЬНОГО ГОСПОДАРСТВА» Додатку 1 «ДОДАТОК 1. ПЕРЕЛІК ЗАВДАНЬ І ЗАХОДІВ КОМПЛЕКСНОЇ ЦІЛЬОВОЇ ПРОГРАМИ ПІДВИЩЕННЯ ЕНЕРГОЕФЕКТИВНОСТІ ТА РОЗВИТКУ ЖИТЛОВО-КОМУНАЛЬНОЇ ІНФРАСТРУКТУРИ МІСТА КИЄВА НА 2021–2025 РОКИ»</w:t>
            </w:r>
            <w:r>
              <w:rPr>
                <w:rFonts w:ascii="Times New Roman" w:hAnsi="Times New Roman" w:cs="Times New Roman"/>
                <w:sz w:val="26"/>
                <w:szCs w:val="26"/>
                <w:lang w:val="uk-UA"/>
              </w:rPr>
              <w:t xml:space="preserve">, </w:t>
            </w:r>
            <w:r w:rsidRPr="00C123BF">
              <w:rPr>
                <w:rFonts w:ascii="Times New Roman" w:hAnsi="Times New Roman" w:cs="Times New Roman"/>
                <w:sz w:val="26"/>
                <w:szCs w:val="26"/>
                <w:lang w:val="uk-UA"/>
              </w:rPr>
              <w:t xml:space="preserve">до Програми: </w:t>
            </w:r>
          </w:p>
          <w:p w:rsidR="00AF10E3" w:rsidRDefault="00AF10E3" w:rsidP="00AF10E3">
            <w:pPr>
              <w:ind w:left="33"/>
              <w:rPr>
                <w:rFonts w:ascii="Times New Roman" w:hAnsi="Times New Roman" w:cs="Times New Roman"/>
                <w:sz w:val="26"/>
                <w:szCs w:val="26"/>
                <w:lang w:val="uk-UA"/>
              </w:rPr>
            </w:pP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6"/>
              <w:gridCol w:w="567"/>
              <w:gridCol w:w="707"/>
              <w:gridCol w:w="425"/>
              <w:gridCol w:w="856"/>
              <w:gridCol w:w="428"/>
              <w:gridCol w:w="707"/>
              <w:gridCol w:w="850"/>
              <w:gridCol w:w="567"/>
              <w:gridCol w:w="567"/>
              <w:gridCol w:w="623"/>
              <w:gridCol w:w="567"/>
              <w:gridCol w:w="549"/>
            </w:tblGrid>
            <w:tr w:rsidR="00AF10E3" w:rsidRPr="005E583B" w:rsidTr="00884D93">
              <w:trPr>
                <w:trHeight w:val="517"/>
              </w:trPr>
              <w:tc>
                <w:tcPr>
                  <w:tcW w:w="290" w:type="pct"/>
                  <w:vMerge w:val="restart"/>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proofErr w:type="spellStart"/>
                  <w:r w:rsidRPr="00C123BF">
                    <w:rPr>
                      <w:rFonts w:ascii="Times New Roman" w:eastAsia="Calibri" w:hAnsi="Times New Roman" w:cs="Times New Roman"/>
                      <w:sz w:val="12"/>
                      <w:szCs w:val="12"/>
                      <w:lang w:val="uk-UA" w:eastAsia="ru-RU"/>
                    </w:rPr>
                    <w:t>Впорядкуваня</w:t>
                  </w:r>
                  <w:proofErr w:type="spellEnd"/>
                </w:p>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та розвиток</w:t>
                  </w:r>
                </w:p>
                <w:p w:rsidR="00AF10E3" w:rsidRPr="00C123BF" w:rsidRDefault="00AF10E3" w:rsidP="00AF10E3">
                  <w:pPr>
                    <w:spacing w:after="0" w:line="240" w:lineRule="auto"/>
                    <w:rPr>
                      <w:rFonts w:ascii="Times New Roman" w:eastAsia="Calibri" w:hAnsi="Times New Roman" w:cs="Times New Roman"/>
                      <w:sz w:val="12"/>
                      <w:szCs w:val="12"/>
                      <w:lang w:val="uk-UA" w:eastAsia="ru-RU"/>
                    </w:rPr>
                  </w:pPr>
                  <w:proofErr w:type="spellStart"/>
                  <w:r w:rsidRPr="00C123BF">
                    <w:rPr>
                      <w:rFonts w:ascii="Times New Roman" w:eastAsia="Calibri" w:hAnsi="Times New Roman" w:cs="Times New Roman"/>
                      <w:sz w:val="12"/>
                      <w:szCs w:val="12"/>
                      <w:lang w:val="uk-UA" w:eastAsia="ru-RU"/>
                    </w:rPr>
                    <w:t>піблічного</w:t>
                  </w:r>
                  <w:proofErr w:type="spellEnd"/>
                  <w:r w:rsidRPr="00C123BF">
                    <w:rPr>
                      <w:rFonts w:ascii="Times New Roman" w:eastAsia="Calibri" w:hAnsi="Times New Roman" w:cs="Times New Roman"/>
                      <w:sz w:val="12"/>
                      <w:szCs w:val="12"/>
                      <w:lang w:val="uk-UA" w:eastAsia="ru-RU"/>
                    </w:rPr>
                    <w:t xml:space="preserve"> </w:t>
                  </w:r>
                </w:p>
                <w:p w:rsidR="00AF10E3" w:rsidRPr="00313693" w:rsidRDefault="00AF10E3" w:rsidP="00AF10E3">
                  <w:pPr>
                    <w:spacing w:after="0" w:line="240" w:lineRule="auto"/>
                    <w:rPr>
                      <w:rFonts w:ascii="Times New Roman" w:eastAsia="Calibri" w:hAnsi="Times New Roman" w:cs="Times New Roman"/>
                      <w:b/>
                      <w:sz w:val="12"/>
                      <w:szCs w:val="12"/>
                      <w:lang w:val="uk-UA" w:eastAsia="ru-RU"/>
                    </w:rPr>
                  </w:pPr>
                  <w:r w:rsidRPr="00C123BF">
                    <w:rPr>
                      <w:rFonts w:ascii="Times New Roman" w:eastAsia="Calibri" w:hAnsi="Times New Roman" w:cs="Times New Roman"/>
                      <w:sz w:val="12"/>
                      <w:szCs w:val="12"/>
                      <w:lang w:val="uk-UA" w:eastAsia="ru-RU"/>
                    </w:rPr>
                    <w:t>простору</w:t>
                  </w:r>
                </w:p>
              </w:tc>
              <w:tc>
                <w:tcPr>
                  <w:tcW w:w="360" w:type="pct"/>
                  <w:vMerge w:val="restart"/>
                  <w:vAlign w:val="center"/>
                </w:tcPr>
                <w:p w:rsidR="00AF10E3" w:rsidRPr="00313693" w:rsidRDefault="00AF10E3" w:rsidP="00AF10E3">
                  <w:pPr>
                    <w:spacing w:after="0" w:line="240" w:lineRule="auto"/>
                    <w:rPr>
                      <w:rFonts w:ascii="Times New Roman" w:eastAsia="Calibri" w:hAnsi="Times New Roman" w:cs="Times New Roman"/>
                      <w:b/>
                      <w:sz w:val="12"/>
                      <w:szCs w:val="12"/>
                      <w:lang w:val="uk-UA" w:eastAsia="ru-RU"/>
                    </w:rPr>
                  </w:pPr>
                  <w:r w:rsidRPr="00C123BF">
                    <w:rPr>
                      <w:rFonts w:ascii="Times New Roman" w:eastAsia="Calibri" w:hAnsi="Times New Roman" w:cs="Times New Roman"/>
                      <w:sz w:val="12"/>
                      <w:szCs w:val="12"/>
                      <w:lang w:val="uk-UA" w:eastAsia="ru-RU"/>
                    </w:rPr>
                    <w:t>1.1. Житловий фонд і благоустрій прибудинкової території</w:t>
                  </w:r>
                </w:p>
              </w:tc>
              <w:tc>
                <w:tcPr>
                  <w:tcW w:w="449" w:type="pct"/>
                  <w:vMerge w:val="restart"/>
                  <w:shd w:val="clear" w:color="auto" w:fill="auto"/>
                  <w:tcMar>
                    <w:top w:w="28" w:type="dxa"/>
                    <w:left w:w="57" w:type="dxa"/>
                    <w:bottom w:w="28" w:type="dxa"/>
                    <w:right w:w="57" w:type="dxa"/>
                  </w:tcMar>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 xml:space="preserve">1.1.12. Облаштування ігрових і спортивних майданчиків, утримання асфальтового покриття прибудинкових територій житлових будинків і </w:t>
                  </w:r>
                  <w:proofErr w:type="spellStart"/>
                  <w:r w:rsidRPr="00C123BF">
                    <w:rPr>
                      <w:rFonts w:ascii="Times New Roman" w:eastAsia="Calibri" w:hAnsi="Times New Roman" w:cs="Times New Roman"/>
                      <w:sz w:val="12"/>
                      <w:szCs w:val="12"/>
                      <w:lang w:val="uk-UA" w:eastAsia="ru-RU"/>
                    </w:rPr>
                    <w:t>внутрішньоквартальних</w:t>
                  </w:r>
                  <w:proofErr w:type="spellEnd"/>
                  <w:r w:rsidRPr="00C123BF">
                    <w:rPr>
                      <w:rFonts w:ascii="Times New Roman" w:eastAsia="Calibri" w:hAnsi="Times New Roman" w:cs="Times New Roman"/>
                      <w:sz w:val="12"/>
                      <w:szCs w:val="12"/>
                      <w:lang w:val="uk-UA" w:eastAsia="ru-RU"/>
                    </w:rPr>
                    <w:t xml:space="preserve"> проїздів, капітальний ремонт </w:t>
                  </w:r>
                  <w:proofErr w:type="spellStart"/>
                  <w:r w:rsidRPr="00C123BF">
                    <w:rPr>
                      <w:rFonts w:ascii="Times New Roman" w:eastAsia="Calibri" w:hAnsi="Times New Roman" w:cs="Times New Roman"/>
                      <w:sz w:val="12"/>
                      <w:szCs w:val="12"/>
                      <w:lang w:val="uk-UA" w:eastAsia="ru-RU"/>
                    </w:rPr>
                    <w:t>зливоприймальних</w:t>
                  </w:r>
                  <w:proofErr w:type="spellEnd"/>
                  <w:r w:rsidRPr="00C123BF">
                    <w:rPr>
                      <w:rFonts w:ascii="Times New Roman" w:eastAsia="Calibri" w:hAnsi="Times New Roman" w:cs="Times New Roman"/>
                      <w:sz w:val="12"/>
                      <w:szCs w:val="12"/>
                      <w:lang w:val="uk-UA" w:eastAsia="ru-RU"/>
                    </w:rPr>
                    <w:t xml:space="preserve"> мереж (без фінансової участі співвласників) (перелік об'єктів затверджується щорічно відповідним </w:t>
                  </w:r>
                  <w:r w:rsidRPr="00C123BF">
                    <w:rPr>
                      <w:rFonts w:ascii="Times New Roman" w:eastAsia="Calibri" w:hAnsi="Times New Roman" w:cs="Times New Roman"/>
                      <w:sz w:val="12"/>
                      <w:szCs w:val="12"/>
                      <w:lang w:val="uk-UA" w:eastAsia="ru-RU"/>
                    </w:rPr>
                    <w:lastRenderedPageBreak/>
                    <w:t>розпорядчим актом)</w:t>
                  </w:r>
                </w:p>
              </w:tc>
              <w:tc>
                <w:tcPr>
                  <w:tcW w:w="270" w:type="pct"/>
                  <w:vMerge w:val="restart"/>
                  <w:shd w:val="clear" w:color="auto" w:fill="auto"/>
                  <w:tcMar>
                    <w:top w:w="28" w:type="dxa"/>
                    <w:left w:w="57" w:type="dxa"/>
                    <w:bottom w:w="28" w:type="dxa"/>
                    <w:right w:w="57" w:type="dxa"/>
                  </w:tcMar>
                  <w:vAlign w:val="cente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lastRenderedPageBreak/>
                    <w:t>2021-2025</w:t>
                  </w:r>
                </w:p>
              </w:tc>
              <w:tc>
                <w:tcPr>
                  <w:tcW w:w="544" w:type="pct"/>
                  <w:vMerge w:val="restart"/>
                  <w:shd w:val="clear" w:color="auto" w:fill="auto"/>
                  <w:tcMar>
                    <w:top w:w="28" w:type="dxa"/>
                    <w:left w:w="57" w:type="dxa"/>
                    <w:bottom w:w="28" w:type="dxa"/>
                    <w:right w:w="57" w:type="dxa"/>
                  </w:tcMar>
                  <w:vAlign w:val="center"/>
                </w:tcPr>
                <w:p w:rsidR="00AF10E3" w:rsidRPr="00C123BF"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eastAsia="Calibri" w:hAnsi="Times New Roman" w:cs="Times New Roman"/>
                      <w:sz w:val="12"/>
                      <w:szCs w:val="12"/>
                      <w:lang w:val="uk-UA" w:eastAsia="ru-RU"/>
                    </w:rPr>
                    <w:t>Департамент житлово-комунальної інфраструктури,</w:t>
                  </w:r>
                </w:p>
                <w:p w:rsidR="00AF10E3" w:rsidRPr="00C123BF" w:rsidRDefault="00AF10E3" w:rsidP="00AF10E3">
                  <w:pPr>
                    <w:spacing w:after="0" w:line="240" w:lineRule="auto"/>
                    <w:rPr>
                      <w:rFonts w:ascii="Times New Roman" w:eastAsia="Calibri" w:hAnsi="Times New Roman" w:cs="Times New Roman"/>
                      <w:sz w:val="12"/>
                      <w:szCs w:val="12"/>
                      <w:lang w:val="uk-UA" w:eastAsia="ru-RU"/>
                    </w:rPr>
                  </w:pPr>
                </w:p>
                <w:p w:rsidR="00AF10E3" w:rsidRPr="003D1E62" w:rsidRDefault="00AF10E3" w:rsidP="00AF10E3">
                  <w:pPr>
                    <w:spacing w:after="0" w:line="240" w:lineRule="auto"/>
                    <w:rPr>
                      <w:rFonts w:ascii="Times New Roman" w:eastAsia="Calibri" w:hAnsi="Times New Roman" w:cs="Times New Roman"/>
                      <w:sz w:val="12"/>
                      <w:szCs w:val="12"/>
                      <w:lang w:val="uk-UA" w:eastAsia="ru-RU"/>
                    </w:rPr>
                  </w:pPr>
                  <w:r w:rsidRPr="003D1E62">
                    <w:rPr>
                      <w:rFonts w:ascii="Times New Roman" w:eastAsia="Calibri" w:hAnsi="Times New Roman" w:cs="Times New Roman"/>
                      <w:sz w:val="12"/>
                      <w:szCs w:val="12"/>
                      <w:lang w:val="uk-UA" w:eastAsia="ru-RU"/>
                    </w:rPr>
                    <w:t xml:space="preserve">Департамент </w:t>
                  </w:r>
                </w:p>
                <w:p w:rsidR="00AF10E3" w:rsidRPr="003D1E62" w:rsidRDefault="00AF10E3" w:rsidP="00AF10E3">
                  <w:pPr>
                    <w:spacing w:after="0" w:line="240" w:lineRule="auto"/>
                    <w:rPr>
                      <w:rFonts w:ascii="Times New Roman" w:eastAsia="Calibri" w:hAnsi="Times New Roman" w:cs="Times New Roman"/>
                      <w:sz w:val="12"/>
                      <w:szCs w:val="12"/>
                      <w:lang w:val="uk-UA" w:eastAsia="ru-RU"/>
                    </w:rPr>
                  </w:pPr>
                  <w:r w:rsidRPr="003D1E62">
                    <w:rPr>
                      <w:rFonts w:ascii="Times New Roman" w:eastAsia="Calibri" w:hAnsi="Times New Roman" w:cs="Times New Roman"/>
                      <w:sz w:val="12"/>
                      <w:szCs w:val="12"/>
                      <w:lang w:val="uk-UA" w:eastAsia="ru-RU"/>
                    </w:rPr>
                    <w:t xml:space="preserve">будівництва </w:t>
                  </w:r>
                </w:p>
                <w:p w:rsidR="00AF10E3" w:rsidRPr="003D1E62" w:rsidRDefault="00AF10E3" w:rsidP="00AF10E3">
                  <w:pPr>
                    <w:spacing w:after="0" w:line="240" w:lineRule="auto"/>
                    <w:rPr>
                      <w:rFonts w:ascii="Times New Roman" w:eastAsia="Calibri" w:hAnsi="Times New Roman" w:cs="Times New Roman"/>
                      <w:sz w:val="12"/>
                      <w:szCs w:val="12"/>
                      <w:lang w:val="uk-UA" w:eastAsia="ru-RU"/>
                    </w:rPr>
                  </w:pPr>
                  <w:r w:rsidRPr="003D1E62">
                    <w:rPr>
                      <w:rFonts w:ascii="Times New Roman" w:eastAsia="Calibri" w:hAnsi="Times New Roman" w:cs="Times New Roman"/>
                      <w:sz w:val="12"/>
                      <w:szCs w:val="12"/>
                      <w:lang w:val="uk-UA" w:eastAsia="ru-RU"/>
                    </w:rPr>
                    <w:t>та житлового забезпечення</w:t>
                  </w:r>
                </w:p>
                <w:p w:rsidR="00AF10E3" w:rsidRDefault="00AF10E3" w:rsidP="00AF10E3">
                  <w:pPr>
                    <w:spacing w:after="0" w:line="240" w:lineRule="auto"/>
                    <w:rPr>
                      <w:rFonts w:ascii="Times New Roman" w:eastAsia="Calibri" w:hAnsi="Times New Roman" w:cs="Times New Roman"/>
                      <w:sz w:val="12"/>
                      <w:szCs w:val="12"/>
                      <w:lang w:val="uk-UA" w:eastAsia="ru-RU"/>
                    </w:rPr>
                  </w:pPr>
                </w:p>
                <w:p w:rsidR="00AF10E3" w:rsidRPr="003D1E62" w:rsidRDefault="00AF10E3" w:rsidP="00AF10E3">
                  <w:pPr>
                    <w:spacing w:after="0" w:line="240" w:lineRule="auto"/>
                    <w:rPr>
                      <w:rFonts w:ascii="Times New Roman" w:eastAsia="Calibri" w:hAnsi="Times New Roman" w:cs="Times New Roman"/>
                      <w:b/>
                      <w:sz w:val="12"/>
                      <w:szCs w:val="12"/>
                      <w:lang w:val="uk-UA" w:eastAsia="ru-RU"/>
                    </w:rPr>
                  </w:pPr>
                  <w:r w:rsidRPr="003D1E62">
                    <w:rPr>
                      <w:rFonts w:ascii="Times New Roman" w:eastAsia="Calibri" w:hAnsi="Times New Roman" w:cs="Times New Roman"/>
                      <w:b/>
                      <w:sz w:val="12"/>
                      <w:szCs w:val="12"/>
                      <w:lang w:val="uk-UA" w:eastAsia="ru-RU"/>
                    </w:rPr>
                    <w:t>Районі в м. Києві державні адміністрації</w:t>
                  </w:r>
                </w:p>
                <w:p w:rsidR="00AF10E3" w:rsidRPr="003D1E62" w:rsidRDefault="00AF10E3" w:rsidP="00AF10E3">
                  <w:pPr>
                    <w:spacing w:after="0" w:line="240" w:lineRule="auto"/>
                    <w:rPr>
                      <w:rFonts w:ascii="Times New Roman" w:eastAsia="Calibri" w:hAnsi="Times New Roman" w:cs="Times New Roman"/>
                      <w:b/>
                      <w:sz w:val="12"/>
                      <w:szCs w:val="12"/>
                      <w:lang w:val="uk-UA" w:eastAsia="ru-RU"/>
                    </w:rPr>
                  </w:pPr>
                </w:p>
                <w:p w:rsidR="00AF10E3" w:rsidRPr="00313693" w:rsidRDefault="00AF10E3" w:rsidP="00AF10E3">
                  <w:pPr>
                    <w:spacing w:after="0" w:line="240" w:lineRule="auto"/>
                    <w:rPr>
                      <w:rFonts w:ascii="Times New Roman" w:eastAsia="Calibri" w:hAnsi="Times New Roman" w:cs="Times New Roman"/>
                      <w:sz w:val="12"/>
                      <w:szCs w:val="12"/>
                      <w:lang w:val="uk-UA" w:eastAsia="ru-RU"/>
                    </w:rPr>
                  </w:pPr>
                  <w:r w:rsidRPr="003D1E62">
                    <w:rPr>
                      <w:rFonts w:ascii="Times New Roman" w:eastAsia="Calibri" w:hAnsi="Times New Roman" w:cs="Times New Roman"/>
                      <w:b/>
                      <w:sz w:val="12"/>
                      <w:szCs w:val="12"/>
                      <w:lang w:val="uk-UA" w:eastAsia="ru-RU"/>
                    </w:rPr>
                    <w:t>керуючі компанії з обслуговування житлового фонду районів м. Києва</w:t>
                  </w:r>
                </w:p>
              </w:tc>
              <w:tc>
                <w:tcPr>
                  <w:tcW w:w="272" w:type="pct"/>
                  <w:vMerge w:val="restart"/>
                  <w:shd w:val="clear" w:color="auto" w:fill="auto"/>
                  <w:tcMar>
                    <w:top w:w="28" w:type="dxa"/>
                    <w:left w:w="57" w:type="dxa"/>
                    <w:bottom w:w="28" w:type="dxa"/>
                    <w:right w:w="57" w:type="dxa"/>
                  </w:tcMar>
                  <w:vAlign w:val="cente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r w:rsidRPr="00313693">
                    <w:rPr>
                      <w:rFonts w:ascii="Times New Roman" w:eastAsia="Calibri" w:hAnsi="Times New Roman" w:cs="Times New Roman"/>
                      <w:sz w:val="12"/>
                      <w:szCs w:val="12"/>
                      <w:lang w:val="uk-UA" w:eastAsia="ru-RU"/>
                    </w:rPr>
                    <w:t>Бюджет м. Києва</w:t>
                  </w:r>
                </w:p>
              </w:tc>
              <w:tc>
                <w:tcPr>
                  <w:tcW w:w="449" w:type="pct"/>
                  <w:vMerge w:val="restart"/>
                  <w:shd w:val="clear" w:color="auto" w:fill="auto"/>
                  <w:tcMar>
                    <w:top w:w="28" w:type="dxa"/>
                    <w:left w:w="57" w:type="dxa"/>
                    <w:bottom w:w="28" w:type="dxa"/>
                    <w:right w:w="57" w:type="dxa"/>
                  </w:tcMar>
                  <w:vAlign w:val="center"/>
                </w:tcPr>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Всього: 3146724,21</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2021 - 653206,21</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2022 - 457168,00</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2023 - 615350,00</w:t>
                  </w:r>
                </w:p>
                <w:p w:rsidR="00AF10E3" w:rsidRPr="00C123BF" w:rsidRDefault="00AF10E3" w:rsidP="00AF10E3">
                  <w:pPr>
                    <w:spacing w:after="0" w:line="240" w:lineRule="auto"/>
                    <w:rPr>
                      <w:rFonts w:ascii="Times New Roman" w:hAnsi="Times New Roman" w:cs="Times New Roman"/>
                      <w:color w:val="000000"/>
                      <w:sz w:val="12"/>
                      <w:szCs w:val="12"/>
                      <w:lang w:val="uk-UA"/>
                    </w:rPr>
                  </w:pPr>
                  <w:r w:rsidRPr="00C123BF">
                    <w:rPr>
                      <w:rFonts w:ascii="Times New Roman" w:hAnsi="Times New Roman" w:cs="Times New Roman"/>
                      <w:color w:val="000000"/>
                      <w:sz w:val="12"/>
                      <w:szCs w:val="12"/>
                      <w:lang w:val="uk-UA"/>
                    </w:rPr>
                    <w:t>2024 - 676700,00</w:t>
                  </w:r>
                </w:p>
                <w:p w:rsidR="00AF10E3" w:rsidRPr="00313693" w:rsidRDefault="00AF10E3" w:rsidP="00AF10E3">
                  <w:pPr>
                    <w:spacing w:after="0" w:line="240" w:lineRule="auto"/>
                    <w:rPr>
                      <w:rFonts w:ascii="Times New Roman" w:eastAsia="Calibri" w:hAnsi="Times New Roman" w:cs="Times New Roman"/>
                      <w:sz w:val="12"/>
                      <w:szCs w:val="12"/>
                      <w:lang w:val="uk-UA" w:eastAsia="ru-RU"/>
                    </w:rPr>
                  </w:pPr>
                  <w:r w:rsidRPr="00C123BF">
                    <w:rPr>
                      <w:rFonts w:ascii="Times New Roman" w:hAnsi="Times New Roman" w:cs="Times New Roman"/>
                      <w:color w:val="000000"/>
                      <w:sz w:val="12"/>
                      <w:szCs w:val="12"/>
                      <w:lang w:val="uk-UA"/>
                    </w:rPr>
                    <w:t>2025 - 744300,00</w:t>
                  </w:r>
                </w:p>
              </w:tc>
              <w:tc>
                <w:tcPr>
                  <w:tcW w:w="540" w:type="pct"/>
                  <w:shd w:val="clear" w:color="auto" w:fill="auto"/>
                  <w:tcMar>
                    <w:top w:w="28" w:type="dxa"/>
                    <w:left w:w="57" w:type="dxa"/>
                    <w:bottom w:w="28" w:type="dxa"/>
                    <w:right w:w="57" w:type="dxa"/>
                  </w:tcMar>
                  <w:vAlign w:val="center"/>
                </w:tcPr>
                <w:p w:rsidR="00AF10E3" w:rsidRPr="00313693" w:rsidRDefault="00AF10E3" w:rsidP="00AF10E3">
                  <w:pPr>
                    <w:widowControl w:val="0"/>
                    <w:spacing w:after="100" w:afterAutospacing="1" w:line="240" w:lineRule="auto"/>
                    <w:rPr>
                      <w:rFonts w:ascii="Times New Roman" w:hAnsi="Times New Roman" w:cs="Times New Roman"/>
                      <w:sz w:val="12"/>
                      <w:szCs w:val="12"/>
                      <w:lang w:val="uk-UA"/>
                    </w:rPr>
                  </w:pPr>
                  <w:r w:rsidRPr="002454C6">
                    <w:rPr>
                      <w:rFonts w:ascii="Times New Roman" w:hAnsi="Times New Roman" w:cs="Times New Roman"/>
                      <w:b/>
                      <w:color w:val="000000"/>
                      <w:sz w:val="12"/>
                      <w:szCs w:val="12"/>
                      <w:lang w:val="uk-UA"/>
                    </w:rPr>
                    <w:t xml:space="preserve">витрат: </w:t>
                  </w:r>
                  <w:r w:rsidRPr="002454C6">
                    <w:rPr>
                      <w:rFonts w:ascii="Times New Roman" w:hAnsi="Times New Roman" w:cs="Times New Roman"/>
                      <w:color w:val="000000"/>
                      <w:sz w:val="12"/>
                      <w:szCs w:val="12"/>
                      <w:lang w:val="uk-UA"/>
                    </w:rPr>
                    <w:t>обсяг фінансування, тис. грн</w:t>
                  </w:r>
                </w:p>
              </w:tc>
              <w:tc>
                <w:tcPr>
                  <w:tcW w:w="360"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ind w:left="-62" w:right="-54"/>
                    <w:jc w:val="center"/>
                    <w:rPr>
                      <w:rFonts w:ascii="Times New Roman" w:hAnsi="Times New Roman" w:cs="Times New Roman"/>
                      <w:b/>
                      <w:sz w:val="12"/>
                      <w:szCs w:val="12"/>
                      <w:lang w:val="uk-UA"/>
                    </w:rPr>
                  </w:pPr>
                  <w:r w:rsidRPr="005E583B">
                    <w:rPr>
                      <w:rFonts w:ascii="Times New Roman" w:hAnsi="Times New Roman" w:cs="Times New Roman"/>
                      <w:color w:val="000000"/>
                      <w:sz w:val="12"/>
                      <w:szCs w:val="12"/>
                      <w:lang w:val="uk-UA"/>
                    </w:rPr>
                    <w:t>653206,21</w:t>
                  </w:r>
                </w:p>
              </w:tc>
              <w:tc>
                <w:tcPr>
                  <w:tcW w:w="360"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ind w:left="-60" w:right="-54"/>
                    <w:jc w:val="center"/>
                    <w:rPr>
                      <w:rFonts w:ascii="Times New Roman" w:hAnsi="Times New Roman" w:cs="Times New Roman"/>
                      <w:b/>
                      <w:sz w:val="12"/>
                      <w:szCs w:val="12"/>
                      <w:lang w:val="uk-UA"/>
                    </w:rPr>
                  </w:pPr>
                  <w:r w:rsidRPr="005E583B">
                    <w:rPr>
                      <w:rFonts w:ascii="Times New Roman" w:hAnsi="Times New Roman" w:cs="Times New Roman"/>
                      <w:color w:val="000000"/>
                      <w:sz w:val="12"/>
                      <w:szCs w:val="12"/>
                      <w:lang w:val="uk-UA"/>
                    </w:rPr>
                    <w:t>457168,00</w:t>
                  </w:r>
                </w:p>
              </w:tc>
              <w:tc>
                <w:tcPr>
                  <w:tcW w:w="396"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ind w:left="-60" w:right="-49"/>
                    <w:jc w:val="center"/>
                    <w:rPr>
                      <w:rFonts w:ascii="Times New Roman" w:hAnsi="Times New Roman" w:cs="Times New Roman"/>
                      <w:b/>
                      <w:sz w:val="12"/>
                      <w:szCs w:val="12"/>
                      <w:lang w:val="uk-UA"/>
                    </w:rPr>
                  </w:pPr>
                  <w:r w:rsidRPr="005E583B">
                    <w:rPr>
                      <w:rFonts w:ascii="Times New Roman" w:hAnsi="Times New Roman" w:cs="Times New Roman"/>
                      <w:color w:val="000000"/>
                      <w:sz w:val="12"/>
                      <w:szCs w:val="12"/>
                      <w:lang w:val="uk-UA"/>
                    </w:rPr>
                    <w:t>615350,00</w:t>
                  </w:r>
                </w:p>
              </w:tc>
              <w:tc>
                <w:tcPr>
                  <w:tcW w:w="360" w:type="pct"/>
                  <w:shd w:val="clear" w:color="auto" w:fill="auto"/>
                  <w:vAlign w:val="center"/>
                </w:tcPr>
                <w:p w:rsidR="00AF10E3" w:rsidRPr="002A06CC" w:rsidRDefault="00AF10E3" w:rsidP="00AF10E3">
                  <w:pPr>
                    <w:widowControl w:val="0"/>
                    <w:spacing w:line="240" w:lineRule="auto"/>
                    <w:jc w:val="center"/>
                    <w:rPr>
                      <w:rFonts w:ascii="Times New Roman" w:hAnsi="Times New Roman" w:cs="Times New Roman"/>
                      <w:b/>
                      <w:sz w:val="12"/>
                      <w:szCs w:val="12"/>
                      <w:lang w:val="uk-UA"/>
                    </w:rPr>
                  </w:pPr>
                  <w:r w:rsidRPr="005E583B">
                    <w:rPr>
                      <w:rFonts w:ascii="Times New Roman" w:hAnsi="Times New Roman" w:cs="Times New Roman"/>
                      <w:color w:val="000000"/>
                      <w:sz w:val="12"/>
                      <w:szCs w:val="12"/>
                      <w:lang w:val="uk-UA"/>
                    </w:rPr>
                    <w:t>676700,00</w:t>
                  </w:r>
                </w:p>
              </w:tc>
              <w:tc>
                <w:tcPr>
                  <w:tcW w:w="349" w:type="pct"/>
                  <w:shd w:val="clear" w:color="auto" w:fill="auto"/>
                  <w:vAlign w:val="center"/>
                </w:tcPr>
                <w:p w:rsidR="00AF10E3" w:rsidRPr="002A06CC" w:rsidRDefault="00AF10E3" w:rsidP="00AF10E3">
                  <w:pPr>
                    <w:widowControl w:val="0"/>
                    <w:spacing w:line="240" w:lineRule="auto"/>
                    <w:jc w:val="center"/>
                    <w:rPr>
                      <w:rFonts w:ascii="Times New Roman" w:hAnsi="Times New Roman" w:cs="Times New Roman"/>
                      <w:b/>
                      <w:sz w:val="12"/>
                      <w:szCs w:val="12"/>
                      <w:lang w:val="uk-UA"/>
                    </w:rPr>
                  </w:pPr>
                  <w:r w:rsidRPr="005E583B">
                    <w:rPr>
                      <w:rFonts w:ascii="Times New Roman" w:hAnsi="Times New Roman" w:cs="Times New Roman"/>
                      <w:color w:val="000000"/>
                      <w:sz w:val="12"/>
                      <w:szCs w:val="12"/>
                      <w:lang w:val="uk-UA"/>
                    </w:rPr>
                    <w:t>744300,0</w:t>
                  </w:r>
                </w:p>
              </w:tc>
            </w:tr>
            <w:tr w:rsidR="00AF10E3" w:rsidRPr="005E583B" w:rsidTr="00C123BF">
              <w:trPr>
                <w:trHeight w:val="892"/>
              </w:trPr>
              <w:tc>
                <w:tcPr>
                  <w:tcW w:w="29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AF10E3" w:rsidRPr="00313693" w:rsidRDefault="00AF10E3" w:rsidP="00AF10E3">
                  <w:pPr>
                    <w:widowControl w:val="0"/>
                    <w:spacing w:after="100" w:afterAutospacing="1" w:line="240" w:lineRule="auto"/>
                    <w:rPr>
                      <w:rFonts w:ascii="Times New Roman" w:hAnsi="Times New Roman" w:cs="Times New Roman"/>
                      <w:sz w:val="12"/>
                      <w:szCs w:val="12"/>
                      <w:lang w:val="uk-UA"/>
                    </w:rPr>
                  </w:pPr>
                  <w:r w:rsidRPr="002454C6">
                    <w:rPr>
                      <w:rFonts w:ascii="Times New Roman" w:hAnsi="Times New Roman" w:cs="Times New Roman"/>
                      <w:b/>
                      <w:color w:val="000000"/>
                      <w:sz w:val="12"/>
                      <w:szCs w:val="12"/>
                      <w:lang w:val="uk-UA"/>
                    </w:rPr>
                    <w:t xml:space="preserve">продукту: </w:t>
                  </w:r>
                  <w:r w:rsidRPr="002454C6">
                    <w:rPr>
                      <w:rFonts w:ascii="Times New Roman" w:hAnsi="Times New Roman" w:cs="Times New Roman"/>
                      <w:color w:val="000000"/>
                      <w:sz w:val="12"/>
                      <w:szCs w:val="12"/>
                      <w:lang w:val="uk-UA"/>
                    </w:rPr>
                    <w:t>кількість об'єктів</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620,90</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417</w:t>
                  </w:r>
                </w:p>
              </w:tc>
              <w:tc>
                <w:tcPr>
                  <w:tcW w:w="396"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580</w:t>
                  </w:r>
                </w:p>
              </w:tc>
              <w:tc>
                <w:tcPr>
                  <w:tcW w:w="360"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604</w:t>
                  </w:r>
                </w:p>
              </w:tc>
              <w:tc>
                <w:tcPr>
                  <w:tcW w:w="349"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638</w:t>
                  </w:r>
                </w:p>
              </w:tc>
            </w:tr>
            <w:tr w:rsidR="00AF10E3" w:rsidRPr="005E583B" w:rsidTr="00C123BF">
              <w:trPr>
                <w:trHeight w:val="1139"/>
              </w:trPr>
              <w:tc>
                <w:tcPr>
                  <w:tcW w:w="29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AF10E3" w:rsidRPr="00313693" w:rsidRDefault="00AF10E3" w:rsidP="00AF10E3">
                  <w:pPr>
                    <w:widowControl w:val="0"/>
                    <w:spacing w:after="100" w:afterAutospacing="1" w:line="240" w:lineRule="auto"/>
                    <w:rPr>
                      <w:rFonts w:ascii="Times New Roman" w:hAnsi="Times New Roman" w:cs="Times New Roman"/>
                      <w:sz w:val="12"/>
                      <w:szCs w:val="12"/>
                      <w:lang w:val="uk-UA"/>
                    </w:rPr>
                  </w:pPr>
                  <w:r w:rsidRPr="002454C6">
                    <w:rPr>
                      <w:rFonts w:ascii="Times New Roman" w:hAnsi="Times New Roman" w:cs="Times New Roman"/>
                      <w:b/>
                      <w:color w:val="000000"/>
                      <w:sz w:val="12"/>
                      <w:szCs w:val="12"/>
                      <w:lang w:val="uk-UA"/>
                    </w:rPr>
                    <w:t xml:space="preserve">ефективності: </w:t>
                  </w:r>
                  <w:r w:rsidRPr="002454C6">
                    <w:rPr>
                      <w:rFonts w:ascii="Times New Roman" w:hAnsi="Times New Roman" w:cs="Times New Roman"/>
                      <w:color w:val="000000"/>
                      <w:sz w:val="12"/>
                      <w:szCs w:val="12"/>
                      <w:lang w:val="uk-UA"/>
                    </w:rPr>
                    <w:t>середня вартість відновлення асфальтового покриття, тис. грн</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1000,01</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994,00</w:t>
                  </w:r>
                </w:p>
              </w:tc>
              <w:tc>
                <w:tcPr>
                  <w:tcW w:w="396"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995,00</w:t>
                  </w:r>
                </w:p>
              </w:tc>
              <w:tc>
                <w:tcPr>
                  <w:tcW w:w="360"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1050,00</w:t>
                  </w:r>
                </w:p>
              </w:tc>
              <w:tc>
                <w:tcPr>
                  <w:tcW w:w="349"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sidRPr="005E583B">
                    <w:rPr>
                      <w:rFonts w:ascii="Times New Roman" w:hAnsi="Times New Roman" w:cs="Times New Roman"/>
                      <w:color w:val="000000"/>
                      <w:sz w:val="12"/>
                      <w:szCs w:val="12"/>
                      <w:lang w:val="uk-UA"/>
                    </w:rPr>
                    <w:t>1100,00</w:t>
                  </w:r>
                </w:p>
              </w:tc>
            </w:tr>
            <w:tr w:rsidR="00AF10E3" w:rsidRPr="005E583B" w:rsidTr="00C123BF">
              <w:trPr>
                <w:trHeight w:val="124"/>
              </w:trPr>
              <w:tc>
                <w:tcPr>
                  <w:tcW w:w="29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AF10E3" w:rsidRPr="00313693" w:rsidRDefault="00AF10E3" w:rsidP="00AF10E3">
                  <w:pPr>
                    <w:widowControl w:val="0"/>
                    <w:spacing w:after="100" w:afterAutospacing="1" w:line="240" w:lineRule="auto"/>
                    <w:rPr>
                      <w:rFonts w:ascii="Times New Roman" w:hAnsi="Times New Roman" w:cs="Times New Roman"/>
                      <w:sz w:val="12"/>
                      <w:szCs w:val="12"/>
                      <w:lang w:val="uk-UA"/>
                    </w:rPr>
                  </w:pPr>
                  <w:r w:rsidRPr="002454C6">
                    <w:rPr>
                      <w:rFonts w:ascii="Times New Roman" w:hAnsi="Times New Roman" w:cs="Times New Roman"/>
                      <w:b/>
                      <w:color w:val="000000"/>
                      <w:sz w:val="12"/>
                      <w:szCs w:val="12"/>
                      <w:lang w:val="uk-UA"/>
                    </w:rPr>
                    <w:t xml:space="preserve">якості: </w:t>
                  </w:r>
                  <w:r w:rsidRPr="002454C6">
                    <w:rPr>
                      <w:rFonts w:ascii="Times New Roman" w:hAnsi="Times New Roman" w:cs="Times New Roman"/>
                      <w:color w:val="000000"/>
                      <w:sz w:val="12"/>
                      <w:szCs w:val="12"/>
                      <w:lang w:val="uk-UA"/>
                    </w:rPr>
                    <w:t>питома вага робіт з асфальтування до запланованих робіт, %</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96"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60"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49"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r>
            <w:tr w:rsidR="00AF10E3" w:rsidRPr="005E583B" w:rsidTr="00C123BF">
              <w:trPr>
                <w:trHeight w:val="124"/>
              </w:trPr>
              <w:tc>
                <w:tcPr>
                  <w:tcW w:w="29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AF10E3" w:rsidRPr="00313693" w:rsidRDefault="00AF10E3" w:rsidP="00AF10E3">
                  <w:pPr>
                    <w:widowControl w:val="0"/>
                    <w:spacing w:after="100" w:afterAutospacing="1" w:line="240" w:lineRule="auto"/>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продукту: </w:t>
                  </w:r>
                  <w:r w:rsidRPr="002454C6">
                    <w:rPr>
                      <w:rFonts w:ascii="Times New Roman" w:hAnsi="Times New Roman" w:cs="Times New Roman"/>
                      <w:color w:val="000000"/>
                      <w:sz w:val="12"/>
                      <w:szCs w:val="12"/>
                      <w:lang w:val="uk-UA"/>
                    </w:rPr>
                    <w:t>кількість майданчиків, що планується облаштувати, од.</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190</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251</w:t>
                  </w:r>
                </w:p>
              </w:tc>
              <w:tc>
                <w:tcPr>
                  <w:tcW w:w="396"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225</w:t>
                  </w:r>
                </w:p>
              </w:tc>
              <w:tc>
                <w:tcPr>
                  <w:tcW w:w="360"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250</w:t>
                  </w:r>
                </w:p>
              </w:tc>
              <w:tc>
                <w:tcPr>
                  <w:tcW w:w="349"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250</w:t>
                  </w:r>
                </w:p>
              </w:tc>
            </w:tr>
            <w:tr w:rsidR="00AF10E3" w:rsidRPr="005E583B" w:rsidTr="00C123BF">
              <w:trPr>
                <w:trHeight w:val="124"/>
              </w:trPr>
              <w:tc>
                <w:tcPr>
                  <w:tcW w:w="29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AF10E3" w:rsidRPr="00313693" w:rsidRDefault="00AF10E3" w:rsidP="00AF10E3">
                  <w:pPr>
                    <w:widowControl w:val="0"/>
                    <w:spacing w:after="100" w:afterAutospacing="1" w:line="240" w:lineRule="auto"/>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ефективності: </w:t>
                  </w:r>
                  <w:r w:rsidRPr="002454C6">
                    <w:rPr>
                      <w:rFonts w:ascii="Times New Roman" w:hAnsi="Times New Roman" w:cs="Times New Roman"/>
                      <w:color w:val="000000"/>
                      <w:sz w:val="12"/>
                      <w:szCs w:val="12"/>
                      <w:lang w:val="uk-UA"/>
                    </w:rPr>
                    <w:t xml:space="preserve">середня вартість влаштування </w:t>
                  </w:r>
                  <w:r w:rsidRPr="002454C6">
                    <w:rPr>
                      <w:rFonts w:ascii="Times New Roman" w:hAnsi="Times New Roman" w:cs="Times New Roman"/>
                      <w:color w:val="000000"/>
                      <w:sz w:val="12"/>
                      <w:szCs w:val="12"/>
                      <w:lang w:val="uk-UA"/>
                    </w:rPr>
                    <w:lastRenderedPageBreak/>
                    <w:t>одного майданчика, тис. грн</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lastRenderedPageBreak/>
                    <w:t>170,00</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170,00</w:t>
                  </w:r>
                </w:p>
              </w:tc>
              <w:tc>
                <w:tcPr>
                  <w:tcW w:w="396"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170,00</w:t>
                  </w:r>
                </w:p>
              </w:tc>
              <w:tc>
                <w:tcPr>
                  <w:tcW w:w="360"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170,00</w:t>
                  </w:r>
                </w:p>
              </w:tc>
              <w:tc>
                <w:tcPr>
                  <w:tcW w:w="349"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170,00</w:t>
                  </w:r>
                </w:p>
              </w:tc>
            </w:tr>
            <w:tr w:rsidR="00AF10E3" w:rsidRPr="005E583B" w:rsidTr="00C123BF">
              <w:trPr>
                <w:trHeight w:val="124"/>
              </w:trPr>
              <w:tc>
                <w:tcPr>
                  <w:tcW w:w="29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360" w:type="pct"/>
                  <w:vMerge/>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rPr>
                      <w:rFonts w:ascii="Times New Roman" w:eastAsia="Calibri" w:hAnsi="Times New Roman" w:cs="Times New Roman"/>
                      <w:sz w:val="12"/>
                      <w:szCs w:val="12"/>
                      <w:lang w:val="uk-UA" w:eastAsia="ru-RU"/>
                    </w:rPr>
                  </w:pPr>
                </w:p>
              </w:tc>
              <w:tc>
                <w:tcPr>
                  <w:tcW w:w="270"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4"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272"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449" w:type="pct"/>
                  <w:vMerge/>
                  <w:shd w:val="clear" w:color="auto" w:fill="auto"/>
                  <w:tcMar>
                    <w:top w:w="28" w:type="dxa"/>
                    <w:left w:w="57" w:type="dxa"/>
                    <w:bottom w:w="28" w:type="dxa"/>
                    <w:right w:w="57" w:type="dxa"/>
                  </w:tcMar>
                </w:tcPr>
                <w:p w:rsidR="00AF10E3" w:rsidRPr="00313693" w:rsidRDefault="00AF10E3" w:rsidP="00AF10E3">
                  <w:pPr>
                    <w:spacing w:after="0" w:line="240" w:lineRule="auto"/>
                    <w:jc w:val="center"/>
                    <w:rPr>
                      <w:rFonts w:ascii="Times New Roman" w:eastAsia="Calibri" w:hAnsi="Times New Roman" w:cs="Times New Roman"/>
                      <w:sz w:val="12"/>
                      <w:szCs w:val="12"/>
                      <w:lang w:val="uk-UA" w:eastAsia="ru-RU"/>
                    </w:rPr>
                  </w:pPr>
                </w:p>
              </w:tc>
              <w:tc>
                <w:tcPr>
                  <w:tcW w:w="540" w:type="pct"/>
                  <w:shd w:val="clear" w:color="auto" w:fill="auto"/>
                  <w:tcMar>
                    <w:top w:w="28" w:type="dxa"/>
                    <w:left w:w="57" w:type="dxa"/>
                    <w:bottom w:w="28" w:type="dxa"/>
                    <w:right w:w="57" w:type="dxa"/>
                  </w:tcMar>
                  <w:vAlign w:val="center"/>
                </w:tcPr>
                <w:p w:rsidR="00AF10E3" w:rsidRPr="00313693" w:rsidRDefault="00AF10E3" w:rsidP="00AF10E3">
                  <w:pPr>
                    <w:widowControl w:val="0"/>
                    <w:spacing w:after="100" w:afterAutospacing="1" w:line="240" w:lineRule="auto"/>
                    <w:rPr>
                      <w:rFonts w:ascii="Times New Roman" w:hAnsi="Times New Roman" w:cs="Times New Roman"/>
                      <w:b/>
                      <w:color w:val="000000"/>
                      <w:sz w:val="12"/>
                      <w:szCs w:val="12"/>
                      <w:lang w:val="uk-UA"/>
                    </w:rPr>
                  </w:pPr>
                  <w:r w:rsidRPr="002454C6">
                    <w:rPr>
                      <w:rFonts w:ascii="Times New Roman" w:hAnsi="Times New Roman" w:cs="Times New Roman"/>
                      <w:b/>
                      <w:color w:val="000000"/>
                      <w:sz w:val="12"/>
                      <w:szCs w:val="12"/>
                      <w:lang w:val="uk-UA"/>
                    </w:rPr>
                    <w:t xml:space="preserve">якості: </w:t>
                  </w:r>
                  <w:r w:rsidRPr="002454C6">
                    <w:rPr>
                      <w:rFonts w:ascii="Times New Roman" w:hAnsi="Times New Roman" w:cs="Times New Roman"/>
                      <w:color w:val="000000"/>
                      <w:sz w:val="12"/>
                      <w:szCs w:val="12"/>
                      <w:lang w:val="uk-UA"/>
                    </w:rPr>
                    <w:t>питома вага кількості майданчиків, що планується влаштувати, до кількості майданчиків, що потребує влаштування, %</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100</w:t>
                  </w:r>
                </w:p>
              </w:tc>
              <w:tc>
                <w:tcPr>
                  <w:tcW w:w="360" w:type="pct"/>
                  <w:shd w:val="clear" w:color="auto" w:fill="auto"/>
                  <w:tcMar>
                    <w:top w:w="28" w:type="dxa"/>
                    <w:left w:w="57" w:type="dxa"/>
                    <w:bottom w:w="28" w:type="dxa"/>
                    <w:right w:w="57" w:type="dxa"/>
                  </w:tcMar>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100</w:t>
                  </w:r>
                </w:p>
              </w:tc>
              <w:tc>
                <w:tcPr>
                  <w:tcW w:w="396" w:type="pct"/>
                  <w:shd w:val="clear" w:color="auto" w:fill="auto"/>
                  <w:tcMar>
                    <w:top w:w="28" w:type="dxa"/>
                    <w:left w:w="57" w:type="dxa"/>
                    <w:bottom w:w="28" w:type="dxa"/>
                    <w:right w:w="57" w:type="dxa"/>
                  </w:tcMar>
                  <w:vAlign w:val="center"/>
                </w:tcPr>
                <w:p w:rsidR="00AF10E3" w:rsidRPr="002A06CC" w:rsidRDefault="00AF10E3" w:rsidP="00AF10E3">
                  <w:pPr>
                    <w:widowControl w:val="0"/>
                    <w:spacing w:line="240" w:lineRule="auto"/>
                    <w:jc w:val="center"/>
                    <w:rPr>
                      <w:rFonts w:ascii="Times New Roman" w:hAnsi="Times New Roman" w:cs="Times New Roman"/>
                      <w:sz w:val="12"/>
                      <w:szCs w:val="12"/>
                      <w:lang w:val="uk-UA"/>
                    </w:rPr>
                  </w:pPr>
                  <w:r>
                    <w:rPr>
                      <w:rFonts w:ascii="Times New Roman" w:hAnsi="Times New Roman" w:cs="Times New Roman"/>
                      <w:sz w:val="12"/>
                      <w:szCs w:val="12"/>
                      <w:lang w:val="uk-UA"/>
                    </w:rPr>
                    <w:t>100</w:t>
                  </w:r>
                </w:p>
              </w:tc>
              <w:tc>
                <w:tcPr>
                  <w:tcW w:w="360"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100</w:t>
                  </w:r>
                </w:p>
              </w:tc>
              <w:tc>
                <w:tcPr>
                  <w:tcW w:w="349" w:type="pct"/>
                  <w:shd w:val="clear" w:color="auto" w:fill="auto"/>
                  <w:vAlign w:val="center"/>
                </w:tcPr>
                <w:p w:rsidR="00AF10E3" w:rsidRPr="00313693" w:rsidRDefault="00AF10E3" w:rsidP="00AF10E3">
                  <w:pPr>
                    <w:widowControl w:val="0"/>
                    <w:spacing w:line="240" w:lineRule="auto"/>
                    <w:jc w:val="center"/>
                    <w:rPr>
                      <w:rFonts w:ascii="Times New Roman" w:hAnsi="Times New Roman" w:cs="Times New Roman"/>
                      <w:color w:val="000000"/>
                      <w:sz w:val="12"/>
                      <w:szCs w:val="12"/>
                      <w:lang w:val="uk-UA"/>
                    </w:rPr>
                  </w:pPr>
                  <w:r>
                    <w:rPr>
                      <w:rFonts w:ascii="Times New Roman" w:hAnsi="Times New Roman" w:cs="Times New Roman"/>
                      <w:color w:val="000000"/>
                      <w:sz w:val="12"/>
                      <w:szCs w:val="12"/>
                      <w:lang w:val="uk-UA"/>
                    </w:rPr>
                    <w:t>100</w:t>
                  </w:r>
                </w:p>
              </w:tc>
            </w:tr>
          </w:tbl>
          <w:p w:rsidR="00AF10E3" w:rsidRPr="0078300C" w:rsidRDefault="00AF10E3" w:rsidP="00AF10E3">
            <w:pPr>
              <w:ind w:left="33"/>
              <w:jc w:val="both"/>
              <w:rPr>
                <w:rFonts w:ascii="Times New Roman" w:eastAsia="Times New Roman" w:hAnsi="Times New Roman" w:cs="Times New Roman"/>
                <w:sz w:val="16"/>
                <w:szCs w:val="16"/>
                <w:shd w:val="clear" w:color="auto" w:fill="FFFFFF"/>
                <w:lang w:val="uk-UA" w:eastAsia="ru-RU"/>
              </w:rPr>
            </w:pPr>
          </w:p>
        </w:tc>
      </w:tr>
    </w:tbl>
    <w:p w:rsidR="00504E29" w:rsidRPr="00504E29" w:rsidRDefault="00504E29" w:rsidP="00026C6D">
      <w:pPr>
        <w:spacing w:after="0" w:line="240" w:lineRule="auto"/>
        <w:rPr>
          <w:rFonts w:ascii="Times New Roman" w:hAnsi="Times New Roman" w:cs="Times New Roman"/>
          <w:sz w:val="28"/>
          <w:szCs w:val="28"/>
          <w:lang w:val="uk-UA"/>
        </w:rPr>
      </w:pPr>
    </w:p>
    <w:sectPr w:rsidR="00504E29" w:rsidRPr="00504E29" w:rsidSect="008E3ED1">
      <w:pgSz w:w="16838" w:h="11906" w:orient="landscape"/>
      <w:pgMar w:top="851" w:right="284"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DA0" w:rsidRDefault="007B4DA0" w:rsidP="008A6D76">
      <w:pPr>
        <w:spacing w:after="0" w:line="240" w:lineRule="auto"/>
      </w:pPr>
      <w:r>
        <w:separator/>
      </w:r>
    </w:p>
  </w:endnote>
  <w:endnote w:type="continuationSeparator" w:id="0">
    <w:p w:rsidR="007B4DA0" w:rsidRDefault="007B4DA0" w:rsidP="008A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BM Plex Serif">
    <w:altName w:val="Times New Roman"/>
    <w:charset w:val="CC"/>
    <w:family w:val="roman"/>
    <w:pitch w:val="variable"/>
    <w:sig w:usb0="A000026F" w:usb1="5000203B"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DA0" w:rsidRDefault="007B4DA0" w:rsidP="008A6D76">
      <w:pPr>
        <w:spacing w:after="0" w:line="240" w:lineRule="auto"/>
      </w:pPr>
      <w:r>
        <w:separator/>
      </w:r>
    </w:p>
  </w:footnote>
  <w:footnote w:type="continuationSeparator" w:id="0">
    <w:p w:rsidR="007B4DA0" w:rsidRDefault="007B4DA0" w:rsidP="008A6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66BD"/>
    <w:multiLevelType w:val="hybridMultilevel"/>
    <w:tmpl w:val="23DAB4A2"/>
    <w:lvl w:ilvl="0" w:tplc="13C497A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0F0B5738"/>
    <w:multiLevelType w:val="hybridMultilevel"/>
    <w:tmpl w:val="76B22A3A"/>
    <w:lvl w:ilvl="0" w:tplc="13C497A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15:restartNumberingAfterBreak="0">
    <w:nsid w:val="1FAD6E18"/>
    <w:multiLevelType w:val="hybridMultilevel"/>
    <w:tmpl w:val="F028E232"/>
    <w:lvl w:ilvl="0" w:tplc="13C497A6">
      <w:start w:val="3"/>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15:restartNumberingAfterBreak="0">
    <w:nsid w:val="2DC6505B"/>
    <w:multiLevelType w:val="hybridMultilevel"/>
    <w:tmpl w:val="D972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D17A02"/>
    <w:multiLevelType w:val="hybridMultilevel"/>
    <w:tmpl w:val="3194666A"/>
    <w:lvl w:ilvl="0" w:tplc="FC34FA2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B0C37"/>
    <w:multiLevelType w:val="hybridMultilevel"/>
    <w:tmpl w:val="C94E45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464CF4"/>
    <w:multiLevelType w:val="multilevel"/>
    <w:tmpl w:val="3BA0E2B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5530BD3"/>
    <w:multiLevelType w:val="hybridMultilevel"/>
    <w:tmpl w:val="23DAB4A2"/>
    <w:lvl w:ilvl="0" w:tplc="13C497A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15:restartNumberingAfterBreak="0">
    <w:nsid w:val="5A5B2EFD"/>
    <w:multiLevelType w:val="hybridMultilevel"/>
    <w:tmpl w:val="1EE6E62C"/>
    <w:lvl w:ilvl="0" w:tplc="13C497A6">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61D20BA6"/>
    <w:multiLevelType w:val="hybridMultilevel"/>
    <w:tmpl w:val="184C6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1E0D5D"/>
    <w:multiLevelType w:val="hybridMultilevel"/>
    <w:tmpl w:val="F028E232"/>
    <w:lvl w:ilvl="0" w:tplc="13C497A6">
      <w:start w:val="3"/>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1" w15:restartNumberingAfterBreak="0">
    <w:nsid w:val="780B0B8C"/>
    <w:multiLevelType w:val="hybridMultilevel"/>
    <w:tmpl w:val="BC743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2E5DE7"/>
    <w:multiLevelType w:val="hybridMultilevel"/>
    <w:tmpl w:val="6F2C6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7"/>
  </w:num>
  <w:num w:numId="8">
    <w:abstractNumId w:val="2"/>
  </w:num>
  <w:num w:numId="9">
    <w:abstractNumId w:val="8"/>
  </w:num>
  <w:num w:numId="10">
    <w:abstractNumId w:val="12"/>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BD6"/>
    <w:rsid w:val="00006F69"/>
    <w:rsid w:val="00011EB0"/>
    <w:rsid w:val="00012949"/>
    <w:rsid w:val="00012E57"/>
    <w:rsid w:val="00015EF3"/>
    <w:rsid w:val="00016E7E"/>
    <w:rsid w:val="00026C6D"/>
    <w:rsid w:val="00031C68"/>
    <w:rsid w:val="00047331"/>
    <w:rsid w:val="000523CB"/>
    <w:rsid w:val="00052543"/>
    <w:rsid w:val="000579C9"/>
    <w:rsid w:val="00061FCF"/>
    <w:rsid w:val="000810AC"/>
    <w:rsid w:val="00083622"/>
    <w:rsid w:val="00097D98"/>
    <w:rsid w:val="000A27F2"/>
    <w:rsid w:val="000A2C7D"/>
    <w:rsid w:val="000A4A29"/>
    <w:rsid w:val="000B6912"/>
    <w:rsid w:val="000C03AB"/>
    <w:rsid w:val="000D20F6"/>
    <w:rsid w:val="000D4FE4"/>
    <w:rsid w:val="000D58BF"/>
    <w:rsid w:val="000E16AB"/>
    <w:rsid w:val="000E489C"/>
    <w:rsid w:val="000E6779"/>
    <w:rsid w:val="000F4A19"/>
    <w:rsid w:val="00102832"/>
    <w:rsid w:val="001048AE"/>
    <w:rsid w:val="00106F5D"/>
    <w:rsid w:val="0011366D"/>
    <w:rsid w:val="0011384F"/>
    <w:rsid w:val="00116619"/>
    <w:rsid w:val="00121D9A"/>
    <w:rsid w:val="00123076"/>
    <w:rsid w:val="001264F4"/>
    <w:rsid w:val="00132296"/>
    <w:rsid w:val="00136003"/>
    <w:rsid w:val="001423DA"/>
    <w:rsid w:val="0014481A"/>
    <w:rsid w:val="00151399"/>
    <w:rsid w:val="00156132"/>
    <w:rsid w:val="00156BB4"/>
    <w:rsid w:val="00160335"/>
    <w:rsid w:val="00164074"/>
    <w:rsid w:val="00166CC7"/>
    <w:rsid w:val="00171D28"/>
    <w:rsid w:val="00172DE6"/>
    <w:rsid w:val="00173100"/>
    <w:rsid w:val="00183F3F"/>
    <w:rsid w:val="00185A04"/>
    <w:rsid w:val="00185D18"/>
    <w:rsid w:val="00191AD7"/>
    <w:rsid w:val="001933D5"/>
    <w:rsid w:val="001A0186"/>
    <w:rsid w:val="001A0AA1"/>
    <w:rsid w:val="001A2475"/>
    <w:rsid w:val="001A3CD4"/>
    <w:rsid w:val="001A47E6"/>
    <w:rsid w:val="001D1799"/>
    <w:rsid w:val="001D4799"/>
    <w:rsid w:val="001D4B1B"/>
    <w:rsid w:val="001D5ED7"/>
    <w:rsid w:val="001D7611"/>
    <w:rsid w:val="001F0648"/>
    <w:rsid w:val="001F6463"/>
    <w:rsid w:val="001F7FBF"/>
    <w:rsid w:val="00200658"/>
    <w:rsid w:val="0020148C"/>
    <w:rsid w:val="00203520"/>
    <w:rsid w:val="0020740B"/>
    <w:rsid w:val="00220580"/>
    <w:rsid w:val="002249BB"/>
    <w:rsid w:val="00231F00"/>
    <w:rsid w:val="002321E0"/>
    <w:rsid w:val="002349CC"/>
    <w:rsid w:val="00236730"/>
    <w:rsid w:val="002407C1"/>
    <w:rsid w:val="0024327C"/>
    <w:rsid w:val="002454C6"/>
    <w:rsid w:val="00253A57"/>
    <w:rsid w:val="00253BC4"/>
    <w:rsid w:val="00254031"/>
    <w:rsid w:val="00256605"/>
    <w:rsid w:val="0025725E"/>
    <w:rsid w:val="00264CF5"/>
    <w:rsid w:val="00270B33"/>
    <w:rsid w:val="00272400"/>
    <w:rsid w:val="002A01AC"/>
    <w:rsid w:val="002A06CC"/>
    <w:rsid w:val="002A2C19"/>
    <w:rsid w:val="002A5840"/>
    <w:rsid w:val="002B188F"/>
    <w:rsid w:val="002B3155"/>
    <w:rsid w:val="002B59B5"/>
    <w:rsid w:val="002B5B1E"/>
    <w:rsid w:val="002C1F03"/>
    <w:rsid w:val="002C5B81"/>
    <w:rsid w:val="002D05C5"/>
    <w:rsid w:val="002D08F5"/>
    <w:rsid w:val="002D26F4"/>
    <w:rsid w:val="002D271C"/>
    <w:rsid w:val="002D4DC2"/>
    <w:rsid w:val="002D51B7"/>
    <w:rsid w:val="002D634D"/>
    <w:rsid w:val="002D7684"/>
    <w:rsid w:val="002E168E"/>
    <w:rsid w:val="002E5BE4"/>
    <w:rsid w:val="002F280D"/>
    <w:rsid w:val="002F3FEF"/>
    <w:rsid w:val="002F4DC0"/>
    <w:rsid w:val="003006A8"/>
    <w:rsid w:val="00307B98"/>
    <w:rsid w:val="00313693"/>
    <w:rsid w:val="00315508"/>
    <w:rsid w:val="00316272"/>
    <w:rsid w:val="00316F80"/>
    <w:rsid w:val="00320ADF"/>
    <w:rsid w:val="00324CE9"/>
    <w:rsid w:val="00331A21"/>
    <w:rsid w:val="00331D5B"/>
    <w:rsid w:val="00332EAC"/>
    <w:rsid w:val="003330F3"/>
    <w:rsid w:val="003464B2"/>
    <w:rsid w:val="00352D01"/>
    <w:rsid w:val="003542DC"/>
    <w:rsid w:val="003600B9"/>
    <w:rsid w:val="00380BAE"/>
    <w:rsid w:val="003832D7"/>
    <w:rsid w:val="00387489"/>
    <w:rsid w:val="003874D7"/>
    <w:rsid w:val="00391632"/>
    <w:rsid w:val="00392E0A"/>
    <w:rsid w:val="003958CB"/>
    <w:rsid w:val="003A701E"/>
    <w:rsid w:val="003C289D"/>
    <w:rsid w:val="003C4C46"/>
    <w:rsid w:val="003C5108"/>
    <w:rsid w:val="003C56C0"/>
    <w:rsid w:val="003D1879"/>
    <w:rsid w:val="003D1E62"/>
    <w:rsid w:val="003D2422"/>
    <w:rsid w:val="003E651B"/>
    <w:rsid w:val="00403A8D"/>
    <w:rsid w:val="00406CC8"/>
    <w:rsid w:val="00414634"/>
    <w:rsid w:val="00423384"/>
    <w:rsid w:val="004344A7"/>
    <w:rsid w:val="00436C5C"/>
    <w:rsid w:val="00441375"/>
    <w:rsid w:val="00450124"/>
    <w:rsid w:val="00451A69"/>
    <w:rsid w:val="004536BA"/>
    <w:rsid w:val="004636EF"/>
    <w:rsid w:val="004679BC"/>
    <w:rsid w:val="00483517"/>
    <w:rsid w:val="00492446"/>
    <w:rsid w:val="00493A89"/>
    <w:rsid w:val="004A2339"/>
    <w:rsid w:val="004A3325"/>
    <w:rsid w:val="004A5B16"/>
    <w:rsid w:val="004B225C"/>
    <w:rsid w:val="004B3836"/>
    <w:rsid w:val="004B45FA"/>
    <w:rsid w:val="004B6744"/>
    <w:rsid w:val="004D08CF"/>
    <w:rsid w:val="004E4F23"/>
    <w:rsid w:val="004F1B6C"/>
    <w:rsid w:val="005009DB"/>
    <w:rsid w:val="00500B2C"/>
    <w:rsid w:val="00502371"/>
    <w:rsid w:val="00502A5C"/>
    <w:rsid w:val="00504E29"/>
    <w:rsid w:val="0050655D"/>
    <w:rsid w:val="00531F17"/>
    <w:rsid w:val="00534209"/>
    <w:rsid w:val="0054042C"/>
    <w:rsid w:val="00542BD6"/>
    <w:rsid w:val="005529A1"/>
    <w:rsid w:val="00561F0C"/>
    <w:rsid w:val="00564A04"/>
    <w:rsid w:val="005677FC"/>
    <w:rsid w:val="00573EC0"/>
    <w:rsid w:val="00575045"/>
    <w:rsid w:val="0058051E"/>
    <w:rsid w:val="0058283B"/>
    <w:rsid w:val="005829B8"/>
    <w:rsid w:val="00591D57"/>
    <w:rsid w:val="00597CFE"/>
    <w:rsid w:val="005A0A7C"/>
    <w:rsid w:val="005C08D1"/>
    <w:rsid w:val="005C53CD"/>
    <w:rsid w:val="005E0861"/>
    <w:rsid w:val="005E22D7"/>
    <w:rsid w:val="005E583B"/>
    <w:rsid w:val="005E6F75"/>
    <w:rsid w:val="005F0E72"/>
    <w:rsid w:val="005F2BB8"/>
    <w:rsid w:val="005F57FA"/>
    <w:rsid w:val="0060064A"/>
    <w:rsid w:val="0061408C"/>
    <w:rsid w:val="00617292"/>
    <w:rsid w:val="00623C09"/>
    <w:rsid w:val="00623D87"/>
    <w:rsid w:val="00627BD2"/>
    <w:rsid w:val="006355C5"/>
    <w:rsid w:val="0064208B"/>
    <w:rsid w:val="006457A6"/>
    <w:rsid w:val="00650D83"/>
    <w:rsid w:val="006514B1"/>
    <w:rsid w:val="006548AB"/>
    <w:rsid w:val="00662895"/>
    <w:rsid w:val="00677F1B"/>
    <w:rsid w:val="00680719"/>
    <w:rsid w:val="00684646"/>
    <w:rsid w:val="00690B4B"/>
    <w:rsid w:val="00695D71"/>
    <w:rsid w:val="006A1B76"/>
    <w:rsid w:val="006C1197"/>
    <w:rsid w:val="006C2300"/>
    <w:rsid w:val="006C2A24"/>
    <w:rsid w:val="006D1A5B"/>
    <w:rsid w:val="006D2415"/>
    <w:rsid w:val="006D4D43"/>
    <w:rsid w:val="006D69CB"/>
    <w:rsid w:val="006E30F6"/>
    <w:rsid w:val="006E4E20"/>
    <w:rsid w:val="006E586D"/>
    <w:rsid w:val="006F004C"/>
    <w:rsid w:val="006F0F70"/>
    <w:rsid w:val="006F255D"/>
    <w:rsid w:val="006F3832"/>
    <w:rsid w:val="006F4DCA"/>
    <w:rsid w:val="007032E1"/>
    <w:rsid w:val="00717F39"/>
    <w:rsid w:val="0073103F"/>
    <w:rsid w:val="007459AC"/>
    <w:rsid w:val="00750553"/>
    <w:rsid w:val="007741C6"/>
    <w:rsid w:val="00775F63"/>
    <w:rsid w:val="0078237A"/>
    <w:rsid w:val="0078300C"/>
    <w:rsid w:val="007837DA"/>
    <w:rsid w:val="00785DD4"/>
    <w:rsid w:val="00794A64"/>
    <w:rsid w:val="007A451C"/>
    <w:rsid w:val="007B4DA0"/>
    <w:rsid w:val="007B529C"/>
    <w:rsid w:val="007C0B0A"/>
    <w:rsid w:val="007C1087"/>
    <w:rsid w:val="007C55E9"/>
    <w:rsid w:val="007E3E80"/>
    <w:rsid w:val="007E4039"/>
    <w:rsid w:val="007E707D"/>
    <w:rsid w:val="007E73CA"/>
    <w:rsid w:val="007E7434"/>
    <w:rsid w:val="007F0DA5"/>
    <w:rsid w:val="007F5B4E"/>
    <w:rsid w:val="00812E4D"/>
    <w:rsid w:val="00813D6D"/>
    <w:rsid w:val="0082340D"/>
    <w:rsid w:val="00823B1E"/>
    <w:rsid w:val="0084330F"/>
    <w:rsid w:val="0084792F"/>
    <w:rsid w:val="00852059"/>
    <w:rsid w:val="00852C3D"/>
    <w:rsid w:val="008536D4"/>
    <w:rsid w:val="00853C0C"/>
    <w:rsid w:val="00862775"/>
    <w:rsid w:val="00864691"/>
    <w:rsid w:val="008732D7"/>
    <w:rsid w:val="00876F1C"/>
    <w:rsid w:val="00881740"/>
    <w:rsid w:val="00884D93"/>
    <w:rsid w:val="00886DFA"/>
    <w:rsid w:val="008903AC"/>
    <w:rsid w:val="00893D5D"/>
    <w:rsid w:val="00895E4F"/>
    <w:rsid w:val="008A6D76"/>
    <w:rsid w:val="008A71E2"/>
    <w:rsid w:val="008B6F74"/>
    <w:rsid w:val="008C0D87"/>
    <w:rsid w:val="008C6087"/>
    <w:rsid w:val="008D345C"/>
    <w:rsid w:val="008D7255"/>
    <w:rsid w:val="008E3ED1"/>
    <w:rsid w:val="00914B66"/>
    <w:rsid w:val="00915132"/>
    <w:rsid w:val="00932023"/>
    <w:rsid w:val="0093248F"/>
    <w:rsid w:val="00934410"/>
    <w:rsid w:val="00942428"/>
    <w:rsid w:val="00944F2B"/>
    <w:rsid w:val="00953556"/>
    <w:rsid w:val="00954D2F"/>
    <w:rsid w:val="00960BB6"/>
    <w:rsid w:val="00967C88"/>
    <w:rsid w:val="009748E7"/>
    <w:rsid w:val="00985887"/>
    <w:rsid w:val="00990899"/>
    <w:rsid w:val="00992FEC"/>
    <w:rsid w:val="00995505"/>
    <w:rsid w:val="00996302"/>
    <w:rsid w:val="009A30FA"/>
    <w:rsid w:val="009A62D5"/>
    <w:rsid w:val="009A63F7"/>
    <w:rsid w:val="009C057F"/>
    <w:rsid w:val="009C0933"/>
    <w:rsid w:val="009C585F"/>
    <w:rsid w:val="009C5873"/>
    <w:rsid w:val="009C6BFA"/>
    <w:rsid w:val="009C6D6D"/>
    <w:rsid w:val="009D6B0F"/>
    <w:rsid w:val="009E1FD8"/>
    <w:rsid w:val="009E48E5"/>
    <w:rsid w:val="009F311A"/>
    <w:rsid w:val="009F3D21"/>
    <w:rsid w:val="009F4474"/>
    <w:rsid w:val="009F6DD4"/>
    <w:rsid w:val="00A02E85"/>
    <w:rsid w:val="00A10705"/>
    <w:rsid w:val="00A10A50"/>
    <w:rsid w:val="00A13FB2"/>
    <w:rsid w:val="00A2017E"/>
    <w:rsid w:val="00A35FAB"/>
    <w:rsid w:val="00A40B2E"/>
    <w:rsid w:val="00A41A37"/>
    <w:rsid w:val="00A42638"/>
    <w:rsid w:val="00A47F77"/>
    <w:rsid w:val="00A522C4"/>
    <w:rsid w:val="00A548E6"/>
    <w:rsid w:val="00A6181E"/>
    <w:rsid w:val="00A70C11"/>
    <w:rsid w:val="00A74F12"/>
    <w:rsid w:val="00A76C90"/>
    <w:rsid w:val="00A94B22"/>
    <w:rsid w:val="00A96A8C"/>
    <w:rsid w:val="00AA7751"/>
    <w:rsid w:val="00AB32E5"/>
    <w:rsid w:val="00AB4BC7"/>
    <w:rsid w:val="00AB56F9"/>
    <w:rsid w:val="00AB6AAE"/>
    <w:rsid w:val="00AC3576"/>
    <w:rsid w:val="00AC4E03"/>
    <w:rsid w:val="00AD0A11"/>
    <w:rsid w:val="00AD55AC"/>
    <w:rsid w:val="00AE0F4E"/>
    <w:rsid w:val="00AE3BCB"/>
    <w:rsid w:val="00AE4DEA"/>
    <w:rsid w:val="00AF10E3"/>
    <w:rsid w:val="00AF15D3"/>
    <w:rsid w:val="00AF5ED7"/>
    <w:rsid w:val="00AF679E"/>
    <w:rsid w:val="00AF7567"/>
    <w:rsid w:val="00B014D3"/>
    <w:rsid w:val="00B05017"/>
    <w:rsid w:val="00B06578"/>
    <w:rsid w:val="00B111E0"/>
    <w:rsid w:val="00B11CAD"/>
    <w:rsid w:val="00B14B7F"/>
    <w:rsid w:val="00B31C5B"/>
    <w:rsid w:val="00B350D0"/>
    <w:rsid w:val="00B40FFF"/>
    <w:rsid w:val="00B41C6C"/>
    <w:rsid w:val="00B50B39"/>
    <w:rsid w:val="00B5265B"/>
    <w:rsid w:val="00B649CE"/>
    <w:rsid w:val="00B6738D"/>
    <w:rsid w:val="00B905E5"/>
    <w:rsid w:val="00B92C64"/>
    <w:rsid w:val="00B95752"/>
    <w:rsid w:val="00B96DC2"/>
    <w:rsid w:val="00BA02EC"/>
    <w:rsid w:val="00BA4049"/>
    <w:rsid w:val="00BA464F"/>
    <w:rsid w:val="00BB757D"/>
    <w:rsid w:val="00BB7963"/>
    <w:rsid w:val="00BC2341"/>
    <w:rsid w:val="00BD4422"/>
    <w:rsid w:val="00BD6AFB"/>
    <w:rsid w:val="00BE596E"/>
    <w:rsid w:val="00BF135B"/>
    <w:rsid w:val="00BF54A9"/>
    <w:rsid w:val="00C0357E"/>
    <w:rsid w:val="00C06E3A"/>
    <w:rsid w:val="00C06F88"/>
    <w:rsid w:val="00C123BF"/>
    <w:rsid w:val="00C24C65"/>
    <w:rsid w:val="00C30968"/>
    <w:rsid w:val="00C331EF"/>
    <w:rsid w:val="00C33CFC"/>
    <w:rsid w:val="00C37870"/>
    <w:rsid w:val="00C4228E"/>
    <w:rsid w:val="00C42860"/>
    <w:rsid w:val="00C45AF0"/>
    <w:rsid w:val="00C467B2"/>
    <w:rsid w:val="00C604E9"/>
    <w:rsid w:val="00C7597F"/>
    <w:rsid w:val="00C77C62"/>
    <w:rsid w:val="00C8200A"/>
    <w:rsid w:val="00C824DD"/>
    <w:rsid w:val="00C84093"/>
    <w:rsid w:val="00CA00CE"/>
    <w:rsid w:val="00CC3C9A"/>
    <w:rsid w:val="00CC5BE9"/>
    <w:rsid w:val="00CC646A"/>
    <w:rsid w:val="00CC65BD"/>
    <w:rsid w:val="00CD4116"/>
    <w:rsid w:val="00CD4FAF"/>
    <w:rsid w:val="00CD5583"/>
    <w:rsid w:val="00CE0695"/>
    <w:rsid w:val="00CE1116"/>
    <w:rsid w:val="00CE3149"/>
    <w:rsid w:val="00CE7F10"/>
    <w:rsid w:val="00CF4A9F"/>
    <w:rsid w:val="00CF6964"/>
    <w:rsid w:val="00D075FF"/>
    <w:rsid w:val="00D109AA"/>
    <w:rsid w:val="00D134ED"/>
    <w:rsid w:val="00D13FBE"/>
    <w:rsid w:val="00D1435A"/>
    <w:rsid w:val="00D23E5D"/>
    <w:rsid w:val="00D31FC1"/>
    <w:rsid w:val="00D410C5"/>
    <w:rsid w:val="00D423B2"/>
    <w:rsid w:val="00D4611C"/>
    <w:rsid w:val="00D466D2"/>
    <w:rsid w:val="00D5329F"/>
    <w:rsid w:val="00D7234D"/>
    <w:rsid w:val="00D7320A"/>
    <w:rsid w:val="00D8249F"/>
    <w:rsid w:val="00D856D9"/>
    <w:rsid w:val="00D965D0"/>
    <w:rsid w:val="00D97A29"/>
    <w:rsid w:val="00DA49E4"/>
    <w:rsid w:val="00DB1111"/>
    <w:rsid w:val="00DB496E"/>
    <w:rsid w:val="00DC1449"/>
    <w:rsid w:val="00DC4953"/>
    <w:rsid w:val="00DC70C6"/>
    <w:rsid w:val="00DD188F"/>
    <w:rsid w:val="00DD2412"/>
    <w:rsid w:val="00DD2D67"/>
    <w:rsid w:val="00DD5A1A"/>
    <w:rsid w:val="00DE7D79"/>
    <w:rsid w:val="00DF1C87"/>
    <w:rsid w:val="00DF7D6E"/>
    <w:rsid w:val="00E024DD"/>
    <w:rsid w:val="00E035F5"/>
    <w:rsid w:val="00E03ABA"/>
    <w:rsid w:val="00E108C2"/>
    <w:rsid w:val="00E230B9"/>
    <w:rsid w:val="00E2327D"/>
    <w:rsid w:val="00E33B40"/>
    <w:rsid w:val="00E37CE9"/>
    <w:rsid w:val="00E67241"/>
    <w:rsid w:val="00E82E0E"/>
    <w:rsid w:val="00E845C0"/>
    <w:rsid w:val="00E85061"/>
    <w:rsid w:val="00E96BCD"/>
    <w:rsid w:val="00EA345B"/>
    <w:rsid w:val="00EA3A65"/>
    <w:rsid w:val="00EA73C9"/>
    <w:rsid w:val="00EB17D0"/>
    <w:rsid w:val="00EB1FE7"/>
    <w:rsid w:val="00EB77F9"/>
    <w:rsid w:val="00EC0E75"/>
    <w:rsid w:val="00EC7079"/>
    <w:rsid w:val="00ED399C"/>
    <w:rsid w:val="00EF7C5D"/>
    <w:rsid w:val="00F03498"/>
    <w:rsid w:val="00F12098"/>
    <w:rsid w:val="00F12180"/>
    <w:rsid w:val="00F14620"/>
    <w:rsid w:val="00F17529"/>
    <w:rsid w:val="00F203B1"/>
    <w:rsid w:val="00F27FD3"/>
    <w:rsid w:val="00F33201"/>
    <w:rsid w:val="00F339B5"/>
    <w:rsid w:val="00F35A72"/>
    <w:rsid w:val="00F35EBA"/>
    <w:rsid w:val="00F40EDB"/>
    <w:rsid w:val="00F42808"/>
    <w:rsid w:val="00F44B66"/>
    <w:rsid w:val="00F47EFC"/>
    <w:rsid w:val="00F616C0"/>
    <w:rsid w:val="00F61A1F"/>
    <w:rsid w:val="00F6573F"/>
    <w:rsid w:val="00F702FA"/>
    <w:rsid w:val="00F72444"/>
    <w:rsid w:val="00F735A1"/>
    <w:rsid w:val="00F76DFA"/>
    <w:rsid w:val="00F869DB"/>
    <w:rsid w:val="00F87D60"/>
    <w:rsid w:val="00F90EB5"/>
    <w:rsid w:val="00F91461"/>
    <w:rsid w:val="00F91D11"/>
    <w:rsid w:val="00F96498"/>
    <w:rsid w:val="00F9659D"/>
    <w:rsid w:val="00FB2847"/>
    <w:rsid w:val="00FB79D3"/>
    <w:rsid w:val="00FC22BB"/>
    <w:rsid w:val="00FC5187"/>
    <w:rsid w:val="00FC56AC"/>
    <w:rsid w:val="00FD77EC"/>
    <w:rsid w:val="00FD7B67"/>
    <w:rsid w:val="00FE5379"/>
    <w:rsid w:val="00FF0A62"/>
    <w:rsid w:val="00FF5327"/>
    <w:rsid w:val="00FF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F764"/>
  <w15:docId w15:val="{6D255D45-2DCC-4825-8AB5-EB5DEFD2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0BB6"/>
    <w:pPr>
      <w:ind w:left="720"/>
      <w:contextualSpacing/>
    </w:pPr>
  </w:style>
  <w:style w:type="paragraph" w:styleId="a5">
    <w:name w:val="Balloon Text"/>
    <w:basedOn w:val="a"/>
    <w:link w:val="a6"/>
    <w:uiPriority w:val="99"/>
    <w:semiHidden/>
    <w:unhideWhenUsed/>
    <w:rsid w:val="00CC3C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C9A"/>
    <w:rPr>
      <w:rFonts w:ascii="Tahoma" w:hAnsi="Tahoma" w:cs="Tahoma"/>
      <w:sz w:val="16"/>
      <w:szCs w:val="16"/>
    </w:rPr>
  </w:style>
  <w:style w:type="paragraph" w:styleId="a7">
    <w:name w:val="Normal (Web)"/>
    <w:basedOn w:val="a"/>
    <w:uiPriority w:val="99"/>
    <w:unhideWhenUsed/>
    <w:rsid w:val="00FD7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56605"/>
    <w:rPr>
      <w:color w:val="0000FF"/>
      <w:u w:val="single"/>
    </w:rPr>
  </w:style>
  <w:style w:type="paragraph" w:styleId="a9">
    <w:name w:val="header"/>
    <w:basedOn w:val="a"/>
    <w:link w:val="aa"/>
    <w:uiPriority w:val="99"/>
    <w:unhideWhenUsed/>
    <w:rsid w:val="008A6D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6D76"/>
  </w:style>
  <w:style w:type="paragraph" w:styleId="ab">
    <w:name w:val="footer"/>
    <w:basedOn w:val="a"/>
    <w:link w:val="ac"/>
    <w:uiPriority w:val="99"/>
    <w:unhideWhenUsed/>
    <w:rsid w:val="008A6D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6D76"/>
  </w:style>
  <w:style w:type="character" w:styleId="ad">
    <w:name w:val="FollowedHyperlink"/>
    <w:basedOn w:val="a0"/>
    <w:uiPriority w:val="99"/>
    <w:semiHidden/>
    <w:unhideWhenUsed/>
    <w:rsid w:val="001D4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918">
      <w:bodyDiv w:val="1"/>
      <w:marLeft w:val="0"/>
      <w:marRight w:val="0"/>
      <w:marTop w:val="0"/>
      <w:marBottom w:val="0"/>
      <w:divBdr>
        <w:top w:val="none" w:sz="0" w:space="0" w:color="auto"/>
        <w:left w:val="none" w:sz="0" w:space="0" w:color="auto"/>
        <w:bottom w:val="none" w:sz="0" w:space="0" w:color="auto"/>
        <w:right w:val="none" w:sz="0" w:space="0" w:color="auto"/>
      </w:divBdr>
    </w:div>
    <w:div w:id="60252370">
      <w:bodyDiv w:val="1"/>
      <w:marLeft w:val="0"/>
      <w:marRight w:val="0"/>
      <w:marTop w:val="0"/>
      <w:marBottom w:val="0"/>
      <w:divBdr>
        <w:top w:val="none" w:sz="0" w:space="0" w:color="auto"/>
        <w:left w:val="none" w:sz="0" w:space="0" w:color="auto"/>
        <w:bottom w:val="none" w:sz="0" w:space="0" w:color="auto"/>
        <w:right w:val="none" w:sz="0" w:space="0" w:color="auto"/>
      </w:divBdr>
    </w:div>
    <w:div w:id="65154810">
      <w:bodyDiv w:val="1"/>
      <w:marLeft w:val="0"/>
      <w:marRight w:val="0"/>
      <w:marTop w:val="0"/>
      <w:marBottom w:val="0"/>
      <w:divBdr>
        <w:top w:val="none" w:sz="0" w:space="0" w:color="auto"/>
        <w:left w:val="none" w:sz="0" w:space="0" w:color="auto"/>
        <w:bottom w:val="none" w:sz="0" w:space="0" w:color="auto"/>
        <w:right w:val="none" w:sz="0" w:space="0" w:color="auto"/>
      </w:divBdr>
    </w:div>
    <w:div w:id="78521744">
      <w:bodyDiv w:val="1"/>
      <w:marLeft w:val="0"/>
      <w:marRight w:val="0"/>
      <w:marTop w:val="0"/>
      <w:marBottom w:val="0"/>
      <w:divBdr>
        <w:top w:val="none" w:sz="0" w:space="0" w:color="auto"/>
        <w:left w:val="none" w:sz="0" w:space="0" w:color="auto"/>
        <w:bottom w:val="none" w:sz="0" w:space="0" w:color="auto"/>
        <w:right w:val="none" w:sz="0" w:space="0" w:color="auto"/>
      </w:divBdr>
    </w:div>
    <w:div w:id="134639607">
      <w:bodyDiv w:val="1"/>
      <w:marLeft w:val="0"/>
      <w:marRight w:val="0"/>
      <w:marTop w:val="0"/>
      <w:marBottom w:val="0"/>
      <w:divBdr>
        <w:top w:val="none" w:sz="0" w:space="0" w:color="auto"/>
        <w:left w:val="none" w:sz="0" w:space="0" w:color="auto"/>
        <w:bottom w:val="none" w:sz="0" w:space="0" w:color="auto"/>
        <w:right w:val="none" w:sz="0" w:space="0" w:color="auto"/>
      </w:divBdr>
    </w:div>
    <w:div w:id="186989485">
      <w:bodyDiv w:val="1"/>
      <w:marLeft w:val="0"/>
      <w:marRight w:val="0"/>
      <w:marTop w:val="0"/>
      <w:marBottom w:val="0"/>
      <w:divBdr>
        <w:top w:val="none" w:sz="0" w:space="0" w:color="auto"/>
        <w:left w:val="none" w:sz="0" w:space="0" w:color="auto"/>
        <w:bottom w:val="none" w:sz="0" w:space="0" w:color="auto"/>
        <w:right w:val="none" w:sz="0" w:space="0" w:color="auto"/>
      </w:divBdr>
    </w:div>
    <w:div w:id="209732452">
      <w:bodyDiv w:val="1"/>
      <w:marLeft w:val="0"/>
      <w:marRight w:val="0"/>
      <w:marTop w:val="0"/>
      <w:marBottom w:val="0"/>
      <w:divBdr>
        <w:top w:val="none" w:sz="0" w:space="0" w:color="auto"/>
        <w:left w:val="none" w:sz="0" w:space="0" w:color="auto"/>
        <w:bottom w:val="none" w:sz="0" w:space="0" w:color="auto"/>
        <w:right w:val="none" w:sz="0" w:space="0" w:color="auto"/>
      </w:divBdr>
    </w:div>
    <w:div w:id="218706840">
      <w:bodyDiv w:val="1"/>
      <w:marLeft w:val="0"/>
      <w:marRight w:val="0"/>
      <w:marTop w:val="0"/>
      <w:marBottom w:val="0"/>
      <w:divBdr>
        <w:top w:val="none" w:sz="0" w:space="0" w:color="auto"/>
        <w:left w:val="none" w:sz="0" w:space="0" w:color="auto"/>
        <w:bottom w:val="none" w:sz="0" w:space="0" w:color="auto"/>
        <w:right w:val="none" w:sz="0" w:space="0" w:color="auto"/>
      </w:divBdr>
    </w:div>
    <w:div w:id="223496166">
      <w:bodyDiv w:val="1"/>
      <w:marLeft w:val="0"/>
      <w:marRight w:val="0"/>
      <w:marTop w:val="0"/>
      <w:marBottom w:val="0"/>
      <w:divBdr>
        <w:top w:val="none" w:sz="0" w:space="0" w:color="auto"/>
        <w:left w:val="none" w:sz="0" w:space="0" w:color="auto"/>
        <w:bottom w:val="none" w:sz="0" w:space="0" w:color="auto"/>
        <w:right w:val="none" w:sz="0" w:space="0" w:color="auto"/>
      </w:divBdr>
    </w:div>
    <w:div w:id="456724661">
      <w:bodyDiv w:val="1"/>
      <w:marLeft w:val="0"/>
      <w:marRight w:val="0"/>
      <w:marTop w:val="0"/>
      <w:marBottom w:val="0"/>
      <w:divBdr>
        <w:top w:val="none" w:sz="0" w:space="0" w:color="auto"/>
        <w:left w:val="none" w:sz="0" w:space="0" w:color="auto"/>
        <w:bottom w:val="none" w:sz="0" w:space="0" w:color="auto"/>
        <w:right w:val="none" w:sz="0" w:space="0" w:color="auto"/>
      </w:divBdr>
    </w:div>
    <w:div w:id="507057713">
      <w:bodyDiv w:val="1"/>
      <w:marLeft w:val="0"/>
      <w:marRight w:val="0"/>
      <w:marTop w:val="0"/>
      <w:marBottom w:val="0"/>
      <w:divBdr>
        <w:top w:val="none" w:sz="0" w:space="0" w:color="auto"/>
        <w:left w:val="none" w:sz="0" w:space="0" w:color="auto"/>
        <w:bottom w:val="none" w:sz="0" w:space="0" w:color="auto"/>
        <w:right w:val="none" w:sz="0" w:space="0" w:color="auto"/>
      </w:divBdr>
    </w:div>
    <w:div w:id="568199960">
      <w:bodyDiv w:val="1"/>
      <w:marLeft w:val="0"/>
      <w:marRight w:val="0"/>
      <w:marTop w:val="0"/>
      <w:marBottom w:val="0"/>
      <w:divBdr>
        <w:top w:val="none" w:sz="0" w:space="0" w:color="auto"/>
        <w:left w:val="none" w:sz="0" w:space="0" w:color="auto"/>
        <w:bottom w:val="none" w:sz="0" w:space="0" w:color="auto"/>
        <w:right w:val="none" w:sz="0" w:space="0" w:color="auto"/>
      </w:divBdr>
    </w:div>
    <w:div w:id="602568400">
      <w:bodyDiv w:val="1"/>
      <w:marLeft w:val="0"/>
      <w:marRight w:val="0"/>
      <w:marTop w:val="0"/>
      <w:marBottom w:val="0"/>
      <w:divBdr>
        <w:top w:val="none" w:sz="0" w:space="0" w:color="auto"/>
        <w:left w:val="none" w:sz="0" w:space="0" w:color="auto"/>
        <w:bottom w:val="none" w:sz="0" w:space="0" w:color="auto"/>
        <w:right w:val="none" w:sz="0" w:space="0" w:color="auto"/>
      </w:divBdr>
    </w:div>
    <w:div w:id="645623443">
      <w:bodyDiv w:val="1"/>
      <w:marLeft w:val="0"/>
      <w:marRight w:val="0"/>
      <w:marTop w:val="0"/>
      <w:marBottom w:val="0"/>
      <w:divBdr>
        <w:top w:val="none" w:sz="0" w:space="0" w:color="auto"/>
        <w:left w:val="none" w:sz="0" w:space="0" w:color="auto"/>
        <w:bottom w:val="none" w:sz="0" w:space="0" w:color="auto"/>
        <w:right w:val="none" w:sz="0" w:space="0" w:color="auto"/>
      </w:divBdr>
    </w:div>
    <w:div w:id="720642113">
      <w:bodyDiv w:val="1"/>
      <w:marLeft w:val="0"/>
      <w:marRight w:val="0"/>
      <w:marTop w:val="0"/>
      <w:marBottom w:val="0"/>
      <w:divBdr>
        <w:top w:val="none" w:sz="0" w:space="0" w:color="auto"/>
        <w:left w:val="none" w:sz="0" w:space="0" w:color="auto"/>
        <w:bottom w:val="none" w:sz="0" w:space="0" w:color="auto"/>
        <w:right w:val="none" w:sz="0" w:space="0" w:color="auto"/>
      </w:divBdr>
    </w:div>
    <w:div w:id="781998914">
      <w:bodyDiv w:val="1"/>
      <w:marLeft w:val="0"/>
      <w:marRight w:val="0"/>
      <w:marTop w:val="0"/>
      <w:marBottom w:val="0"/>
      <w:divBdr>
        <w:top w:val="none" w:sz="0" w:space="0" w:color="auto"/>
        <w:left w:val="none" w:sz="0" w:space="0" w:color="auto"/>
        <w:bottom w:val="none" w:sz="0" w:space="0" w:color="auto"/>
        <w:right w:val="none" w:sz="0" w:space="0" w:color="auto"/>
      </w:divBdr>
    </w:div>
    <w:div w:id="1094396077">
      <w:bodyDiv w:val="1"/>
      <w:marLeft w:val="0"/>
      <w:marRight w:val="0"/>
      <w:marTop w:val="0"/>
      <w:marBottom w:val="0"/>
      <w:divBdr>
        <w:top w:val="none" w:sz="0" w:space="0" w:color="auto"/>
        <w:left w:val="none" w:sz="0" w:space="0" w:color="auto"/>
        <w:bottom w:val="none" w:sz="0" w:space="0" w:color="auto"/>
        <w:right w:val="none" w:sz="0" w:space="0" w:color="auto"/>
      </w:divBdr>
    </w:div>
    <w:div w:id="1101948778">
      <w:bodyDiv w:val="1"/>
      <w:marLeft w:val="0"/>
      <w:marRight w:val="0"/>
      <w:marTop w:val="0"/>
      <w:marBottom w:val="0"/>
      <w:divBdr>
        <w:top w:val="none" w:sz="0" w:space="0" w:color="auto"/>
        <w:left w:val="none" w:sz="0" w:space="0" w:color="auto"/>
        <w:bottom w:val="none" w:sz="0" w:space="0" w:color="auto"/>
        <w:right w:val="none" w:sz="0" w:space="0" w:color="auto"/>
      </w:divBdr>
    </w:div>
    <w:div w:id="1358311099">
      <w:bodyDiv w:val="1"/>
      <w:marLeft w:val="0"/>
      <w:marRight w:val="0"/>
      <w:marTop w:val="0"/>
      <w:marBottom w:val="0"/>
      <w:divBdr>
        <w:top w:val="none" w:sz="0" w:space="0" w:color="auto"/>
        <w:left w:val="none" w:sz="0" w:space="0" w:color="auto"/>
        <w:bottom w:val="none" w:sz="0" w:space="0" w:color="auto"/>
        <w:right w:val="none" w:sz="0" w:space="0" w:color="auto"/>
      </w:divBdr>
    </w:div>
    <w:div w:id="1531723498">
      <w:bodyDiv w:val="1"/>
      <w:marLeft w:val="0"/>
      <w:marRight w:val="0"/>
      <w:marTop w:val="0"/>
      <w:marBottom w:val="0"/>
      <w:divBdr>
        <w:top w:val="none" w:sz="0" w:space="0" w:color="auto"/>
        <w:left w:val="none" w:sz="0" w:space="0" w:color="auto"/>
        <w:bottom w:val="none" w:sz="0" w:space="0" w:color="auto"/>
        <w:right w:val="none" w:sz="0" w:space="0" w:color="auto"/>
      </w:divBdr>
    </w:div>
    <w:div w:id="1625506001">
      <w:bodyDiv w:val="1"/>
      <w:marLeft w:val="0"/>
      <w:marRight w:val="0"/>
      <w:marTop w:val="0"/>
      <w:marBottom w:val="0"/>
      <w:divBdr>
        <w:top w:val="none" w:sz="0" w:space="0" w:color="auto"/>
        <w:left w:val="none" w:sz="0" w:space="0" w:color="auto"/>
        <w:bottom w:val="none" w:sz="0" w:space="0" w:color="auto"/>
        <w:right w:val="none" w:sz="0" w:space="0" w:color="auto"/>
      </w:divBdr>
    </w:div>
    <w:div w:id="1636716036">
      <w:bodyDiv w:val="1"/>
      <w:marLeft w:val="0"/>
      <w:marRight w:val="0"/>
      <w:marTop w:val="0"/>
      <w:marBottom w:val="0"/>
      <w:divBdr>
        <w:top w:val="none" w:sz="0" w:space="0" w:color="auto"/>
        <w:left w:val="none" w:sz="0" w:space="0" w:color="auto"/>
        <w:bottom w:val="none" w:sz="0" w:space="0" w:color="auto"/>
        <w:right w:val="none" w:sz="0" w:space="0" w:color="auto"/>
      </w:divBdr>
    </w:div>
    <w:div w:id="1710953620">
      <w:bodyDiv w:val="1"/>
      <w:marLeft w:val="0"/>
      <w:marRight w:val="0"/>
      <w:marTop w:val="0"/>
      <w:marBottom w:val="0"/>
      <w:divBdr>
        <w:top w:val="none" w:sz="0" w:space="0" w:color="auto"/>
        <w:left w:val="none" w:sz="0" w:space="0" w:color="auto"/>
        <w:bottom w:val="none" w:sz="0" w:space="0" w:color="auto"/>
        <w:right w:val="none" w:sz="0" w:space="0" w:color="auto"/>
      </w:divBdr>
    </w:div>
    <w:div w:id="1847284579">
      <w:bodyDiv w:val="1"/>
      <w:marLeft w:val="0"/>
      <w:marRight w:val="0"/>
      <w:marTop w:val="0"/>
      <w:marBottom w:val="0"/>
      <w:divBdr>
        <w:top w:val="none" w:sz="0" w:space="0" w:color="auto"/>
        <w:left w:val="none" w:sz="0" w:space="0" w:color="auto"/>
        <w:bottom w:val="none" w:sz="0" w:space="0" w:color="auto"/>
        <w:right w:val="none" w:sz="0" w:space="0" w:color="auto"/>
      </w:divBdr>
    </w:div>
    <w:div w:id="1887325978">
      <w:bodyDiv w:val="1"/>
      <w:marLeft w:val="0"/>
      <w:marRight w:val="0"/>
      <w:marTop w:val="0"/>
      <w:marBottom w:val="0"/>
      <w:divBdr>
        <w:top w:val="none" w:sz="0" w:space="0" w:color="auto"/>
        <w:left w:val="none" w:sz="0" w:space="0" w:color="auto"/>
        <w:bottom w:val="none" w:sz="0" w:space="0" w:color="auto"/>
        <w:right w:val="none" w:sz="0" w:space="0" w:color="auto"/>
      </w:divBdr>
    </w:div>
    <w:div w:id="2044673579">
      <w:bodyDiv w:val="1"/>
      <w:marLeft w:val="0"/>
      <w:marRight w:val="0"/>
      <w:marTop w:val="0"/>
      <w:marBottom w:val="0"/>
      <w:divBdr>
        <w:top w:val="none" w:sz="0" w:space="0" w:color="auto"/>
        <w:left w:val="none" w:sz="0" w:space="0" w:color="auto"/>
        <w:bottom w:val="none" w:sz="0" w:space="0" w:color="auto"/>
        <w:right w:val="none" w:sz="0" w:space="0" w:color="auto"/>
      </w:divBdr>
    </w:div>
    <w:div w:id="2047293326">
      <w:bodyDiv w:val="1"/>
      <w:marLeft w:val="0"/>
      <w:marRight w:val="0"/>
      <w:marTop w:val="0"/>
      <w:marBottom w:val="0"/>
      <w:divBdr>
        <w:top w:val="none" w:sz="0" w:space="0" w:color="auto"/>
        <w:left w:val="none" w:sz="0" w:space="0" w:color="auto"/>
        <w:bottom w:val="none" w:sz="0" w:space="0" w:color="auto"/>
        <w:right w:val="none" w:sz="0" w:space="0" w:color="auto"/>
      </w:divBdr>
    </w:div>
    <w:div w:id="2129855412">
      <w:bodyDiv w:val="1"/>
      <w:marLeft w:val="0"/>
      <w:marRight w:val="0"/>
      <w:marTop w:val="0"/>
      <w:marBottom w:val="0"/>
      <w:divBdr>
        <w:top w:val="none" w:sz="0" w:space="0" w:color="auto"/>
        <w:left w:val="none" w:sz="0" w:space="0" w:color="auto"/>
        <w:bottom w:val="none" w:sz="0" w:space="0" w:color="auto"/>
        <w:right w:val="none" w:sz="0" w:space="0" w:color="auto"/>
      </w:divBdr>
    </w:div>
    <w:div w:id="21401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6EF9-14D7-4891-A20F-3A923C93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1226</Words>
  <Characters>6991</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Dyrector</dc:creator>
  <cp:lastModifiedBy>Александр Василов</cp:lastModifiedBy>
  <cp:revision>21</cp:revision>
  <cp:lastPrinted>2021-11-24T13:40:00Z</cp:lastPrinted>
  <dcterms:created xsi:type="dcterms:W3CDTF">2023-07-06T12:05:00Z</dcterms:created>
  <dcterms:modified xsi:type="dcterms:W3CDTF">2024-12-03T03:54:00Z</dcterms:modified>
</cp:coreProperties>
</file>