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75" w:rsidRPr="00B05D3D" w:rsidRDefault="00D11A75" w:rsidP="00D11A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05D3D">
        <w:rPr>
          <w:rFonts w:ascii="Calibri" w:eastAsia="Times New Roman" w:hAnsi="Calibri" w:cs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60C185EA" wp14:editId="7B3B4BA7">
            <wp:simplePos x="0" y="0"/>
            <wp:positionH relativeFrom="margin">
              <wp:posOffset>2771775</wp:posOffset>
            </wp:positionH>
            <wp:positionV relativeFrom="paragraph">
              <wp:posOffset>-129540</wp:posOffset>
            </wp:positionV>
            <wp:extent cx="5308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D3D">
        <w:rPr>
          <w:rFonts w:ascii="Times New Roman" w:eastAsia="Calibri" w:hAnsi="Times New Roman" w:cs="Times New Roman"/>
          <w:sz w:val="28"/>
          <w:szCs w:val="28"/>
          <w:lang w:val="ru-RU"/>
        </w:rPr>
        <w:t>=6</w:t>
      </w:r>
    </w:p>
    <w:p w:rsidR="00D11A75" w:rsidRPr="00B05D3D" w:rsidRDefault="00D11A75" w:rsidP="00D11A75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  <w:r w:rsidRPr="00B05D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05D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A75" w:rsidRPr="00B05D3D" w:rsidRDefault="00D11A75" w:rsidP="00D11A75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</w:p>
    <w:p w:rsidR="00D11A75" w:rsidRPr="00B05D3D" w:rsidRDefault="00D11A75" w:rsidP="00D11A75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>КИ</w:t>
      </w:r>
      <w:r w:rsidRPr="00B05D3D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Ї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ВСЬКА</w:t>
      </w: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М</w:t>
      </w:r>
      <w:r w:rsidRPr="00B05D3D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СЬКА</w:t>
      </w: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РАДА</w:t>
      </w:r>
    </w:p>
    <w:p w:rsidR="00D11A75" w:rsidRPr="00B05D3D" w:rsidRDefault="00D11A75" w:rsidP="00D11A75">
      <w:pPr>
        <w:tabs>
          <w:tab w:val="center" w:pos="5858"/>
          <w:tab w:val="left" w:pos="8760"/>
        </w:tabs>
        <w:spacing w:after="0" w:line="240" w:lineRule="auto"/>
        <w:jc w:val="center"/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</w:pPr>
      <w:r w:rsidRPr="00B05D3D">
        <w:rPr>
          <w:rFonts w:ascii="Cambria" w:eastAsia="Times New Roman" w:hAnsi="Cambria" w:cs="Cambria"/>
          <w:b/>
          <w:w w:val="90"/>
          <w:sz w:val="24"/>
          <w:szCs w:val="28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w w:val="90"/>
          <w:sz w:val="24"/>
          <w:szCs w:val="28"/>
          <w:lang w:val="ru-RU" w:eastAsia="ru-RU"/>
        </w:rPr>
        <w:t>Х</w:t>
      </w:r>
      <w:r w:rsidRPr="00B05D3D"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  <w:t xml:space="preserve"> СКЛИКАННЯ</w:t>
      </w:r>
    </w:p>
    <w:p w:rsidR="00D11A75" w:rsidRPr="00B05D3D" w:rsidRDefault="00D11A75" w:rsidP="00D11A75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ПОСТ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ЙНА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КОМ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С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Я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З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ПИТАНЬ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КУЛЬТУРИ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, 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ТУРИЗМУ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</w:p>
    <w:p w:rsidR="00D11A75" w:rsidRPr="00B05D3D" w:rsidRDefault="00D11A75" w:rsidP="00D11A75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>ТА СУСП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ЛЬНИХ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КОМУН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КАЦ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Й</w:t>
      </w:r>
    </w:p>
    <w:p w:rsidR="00D11A75" w:rsidRPr="00B05D3D" w:rsidRDefault="00D11A75" w:rsidP="00D11A75">
      <w:pPr>
        <w:pBdr>
          <w:top w:val="thinThickSmallGap" w:sz="24" w:space="1" w:color="auto"/>
        </w:pBdr>
        <w:spacing w:after="0" w:line="48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B05D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вул. Хрещатик, 36, м. Київ, 01044                                               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 xml:space="preserve">  тел./факс: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(044)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202-73-05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,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(044) 202-72-25</w:t>
      </w:r>
    </w:p>
    <w:p w:rsidR="00D11A75" w:rsidRPr="009C0492" w:rsidRDefault="00880139" w:rsidP="009C049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</w:t>
      </w:r>
      <w:r w:rsidR="00D11A75" w:rsidRPr="00C81ACA">
        <w:rPr>
          <w:rFonts w:ascii="Times New Roman" w:eastAsia="Calibri" w:hAnsi="Times New Roman" w:cs="Times New Roman"/>
          <w:sz w:val="28"/>
          <w:szCs w:val="28"/>
          <w:u w:val="single"/>
        </w:rPr>
        <w:t>.07.2023</w:t>
      </w:r>
      <w:r w:rsidR="00D11A75" w:rsidRPr="00C81ACA">
        <w:rPr>
          <w:rFonts w:ascii="Calibri" w:eastAsia="Calibri" w:hAnsi="Calibri" w:cs="Times New Roman"/>
        </w:rPr>
        <w:t xml:space="preserve">  </w:t>
      </w:r>
      <w:r w:rsidR="00D11A75" w:rsidRPr="00C81AC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11A75">
        <w:rPr>
          <w:rFonts w:ascii="Times New Roman" w:eastAsia="Calibri" w:hAnsi="Times New Roman" w:cs="Times New Roman"/>
          <w:sz w:val="28"/>
          <w:szCs w:val="28"/>
          <w:u w:val="single"/>
        </w:rPr>
        <w:t>08/292-299</w:t>
      </w:r>
      <w:r w:rsidR="00D11A75" w:rsidRPr="00C81ACA">
        <w:rPr>
          <w:rFonts w:ascii="Times New Roman" w:eastAsia="Calibri" w:hAnsi="Times New Roman" w:cs="Times New Roman"/>
          <w:sz w:val="28"/>
          <w:szCs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</w:r>
      <w:r w:rsidR="00D11A75" w:rsidRPr="00C81ACA">
        <w:rPr>
          <w:rFonts w:ascii="Times New Roman" w:eastAsia="Calibri" w:hAnsi="Times New Roman" w:cs="Times New Roman"/>
          <w:sz w:val="28"/>
        </w:rPr>
        <w:tab/>
        <w:t xml:space="preserve">                                                                                        </w:t>
      </w:r>
    </w:p>
    <w:p w:rsidR="00D11A75" w:rsidRDefault="00D11A75" w:rsidP="00D11A7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</w:t>
      </w:r>
      <w:r w:rsidRPr="00C81ACA">
        <w:rPr>
          <w:rFonts w:ascii="Times New Roman" w:eastAsia="Calibri" w:hAnsi="Times New Roman" w:cs="Times New Roman"/>
          <w:sz w:val="28"/>
        </w:rPr>
        <w:t xml:space="preserve">  </w:t>
      </w:r>
    </w:p>
    <w:p w:rsidR="00D11A75" w:rsidRDefault="00D11A75" w:rsidP="00D11A7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D11A75" w:rsidRDefault="00D11A75" w:rsidP="00D11A7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  <w:r w:rsidRPr="00C81ACA">
        <w:rPr>
          <w:rFonts w:ascii="Times New Roman" w:eastAsia="Calibri" w:hAnsi="Times New Roman" w:cs="Times New Roman"/>
          <w:sz w:val="28"/>
        </w:rPr>
        <w:t xml:space="preserve"> Київська міська рада</w:t>
      </w:r>
    </w:p>
    <w:p w:rsidR="00D11A75" w:rsidRPr="00C81ACA" w:rsidRDefault="00D11A75" w:rsidP="00DB2E6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D11A75" w:rsidRPr="00DB2E60" w:rsidRDefault="00D11A75" w:rsidP="00DB2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CA">
        <w:rPr>
          <w:rFonts w:ascii="Times New Roman" w:eastAsia="Calibri" w:hAnsi="Times New Roman" w:cs="Times New Roman"/>
          <w:sz w:val="28"/>
        </w:rPr>
        <w:t>Відповідно до статті 34 Регламенту Київської міської ради, затвердженого рішенням Київської міської ради від 04.11.2021 №3135/3176, звертаємося щодо включенн</w:t>
      </w:r>
      <w:r>
        <w:rPr>
          <w:rFonts w:ascii="Times New Roman" w:eastAsia="Calibri" w:hAnsi="Times New Roman" w:cs="Times New Roman"/>
          <w:sz w:val="28"/>
        </w:rPr>
        <w:t xml:space="preserve">я до порядку денного </w:t>
      </w:r>
      <w:r w:rsidRPr="00C81ACA">
        <w:rPr>
          <w:rFonts w:ascii="Times New Roman" w:eastAsia="Calibri" w:hAnsi="Times New Roman" w:cs="Times New Roman"/>
          <w:sz w:val="28"/>
        </w:rPr>
        <w:t>пленарного засідання сесії Київської міської ради</w:t>
      </w:r>
      <w:r>
        <w:rPr>
          <w:rFonts w:ascii="Times New Roman" w:eastAsia="Calibri" w:hAnsi="Times New Roman" w:cs="Times New Roman"/>
          <w:sz w:val="28"/>
        </w:rPr>
        <w:t xml:space="preserve"> 13.07.2023</w:t>
      </w:r>
      <w:r w:rsidRPr="00C81ACA">
        <w:rPr>
          <w:rFonts w:ascii="Times New Roman" w:eastAsia="Calibri" w:hAnsi="Times New Roman" w:cs="Times New Roman"/>
          <w:sz w:val="28"/>
        </w:rPr>
        <w:t xml:space="preserve">, як невідкладного, </w:t>
      </w:r>
      <w:proofErr w:type="spellStart"/>
      <w:r w:rsidRPr="00C81ACA">
        <w:rPr>
          <w:rFonts w:ascii="Times New Roman" w:eastAsia="Calibri" w:hAnsi="Times New Roman" w:cs="Times New Roman"/>
          <w:sz w:val="28"/>
        </w:rPr>
        <w:t>проєкту</w:t>
      </w:r>
      <w:proofErr w:type="spellEnd"/>
      <w:r w:rsidRPr="00C81ACA">
        <w:rPr>
          <w:rFonts w:ascii="Times New Roman" w:eastAsia="Calibri" w:hAnsi="Times New Roman" w:cs="Times New Roman"/>
          <w:sz w:val="28"/>
        </w:rPr>
        <w:t xml:space="preserve"> рішення Київської міської </w:t>
      </w:r>
      <w:r w:rsidRPr="00DB2E60">
        <w:rPr>
          <w:rFonts w:ascii="Times New Roman" w:eastAsia="Calibri" w:hAnsi="Times New Roman" w:cs="Times New Roman"/>
          <w:sz w:val="28"/>
        </w:rPr>
        <w:t xml:space="preserve">ради </w:t>
      </w:r>
      <w:r w:rsidR="00DB2E60" w:rsidRPr="00DB2E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 деякі питання розгляду </w:t>
      </w:r>
      <w:r w:rsidR="00DB2E60" w:rsidRPr="00DB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щодо перейменування </w:t>
      </w:r>
      <w:r w:rsidR="00DB2E60" w:rsidRPr="00DB2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об’єктів міського підпорядкування»</w:t>
      </w:r>
      <w:r w:rsidR="00DB2E60" w:rsidRPr="00DB2E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2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(далі – </w:t>
      </w:r>
      <w:proofErr w:type="spellStart"/>
      <w:r w:rsidRPr="00DB2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DB2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рішення).</w:t>
      </w:r>
    </w:p>
    <w:p w:rsidR="00DB2E60" w:rsidRPr="009D0B0A" w:rsidRDefault="00D11A75" w:rsidP="00EB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Невідкладність розгляду вказаного </w:t>
      </w:r>
      <w:proofErr w:type="spellStart"/>
      <w:r w:rsidRP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8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Київської місь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кої ради полягає у необхідності </w:t>
      </w:r>
      <w:r w:rsidR="00F73A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здійснення </w:t>
      </w:r>
      <w:r w:rsidR="00F73AED"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повному обсязі міською т</w:t>
      </w:r>
      <w:r w:rsidR="009D0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районною владою відповідних </w:t>
      </w:r>
      <w:r w:rsidR="00F73AE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заходів</w:t>
      </w:r>
      <w:r w:rsidR="00EB0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пов’язаних з </w:t>
      </w:r>
      <w:r w:rsidR="00D801A7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упорядкування</w:t>
      </w:r>
      <w:r w:rsidR="00EB0B9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801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2E60"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процесів, що виникли у зв’язку зі зміною найменувань об’єктів міського підпорядку</w:t>
      </w:r>
      <w:r w:rsidR="00CF774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вання протягом 2014-2023</w:t>
      </w:r>
      <w:r w:rsidR="00FE0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років</w:t>
      </w:r>
      <w:r w:rsidR="009D0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D0B0A"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 організаційно-правового (внесення змін до реєстрів та баз даних, до картографічних матеріалів, перейменування зупинок наземного транспорту тощо), так і господарського (виготовлення та заміна будинкових, вуличних, </w:t>
      </w:r>
      <w:proofErr w:type="spellStart"/>
      <w:r w:rsidR="009D0B0A"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зупинкових</w:t>
      </w:r>
      <w:proofErr w:type="spellEnd"/>
      <w:r w:rsidR="009D0B0A"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покажчиків) характеру</w:t>
      </w:r>
      <w:r w:rsidR="009D0B0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1A75" w:rsidRPr="00C81ACA" w:rsidRDefault="00D11A75" w:rsidP="00DB2E60">
      <w:pPr>
        <w:widowControl w:val="0"/>
        <w:autoSpaceDE w:val="0"/>
        <w:autoSpaceDN w:val="0"/>
        <w:adjustRightInd w:val="0"/>
        <w:spacing w:after="0" w:line="240" w:lineRule="atLeast"/>
        <w:ind w:right="-30" w:firstLine="708"/>
        <w:jc w:val="both"/>
        <w:rPr>
          <w:rFonts w:ascii="Times New Roman" w:eastAsia="Calibri" w:hAnsi="Times New Roman" w:cs="Times New Roman"/>
          <w:sz w:val="28"/>
        </w:rPr>
      </w:pPr>
      <w:r w:rsidRPr="00C81ACA">
        <w:rPr>
          <w:rFonts w:ascii="Times New Roman" w:eastAsia="Calibri" w:hAnsi="Times New Roman" w:cs="Times New Roman"/>
          <w:sz w:val="28"/>
        </w:rPr>
        <w:t xml:space="preserve">Зазначений </w:t>
      </w:r>
      <w:proofErr w:type="spellStart"/>
      <w:r w:rsidRPr="00C81ACA">
        <w:rPr>
          <w:rFonts w:ascii="Times New Roman" w:eastAsia="Calibri" w:hAnsi="Times New Roman" w:cs="Times New Roman"/>
          <w:sz w:val="28"/>
        </w:rPr>
        <w:t>проєкт</w:t>
      </w:r>
      <w:proofErr w:type="spellEnd"/>
      <w:r w:rsidRPr="00C81ACA">
        <w:rPr>
          <w:rFonts w:ascii="Times New Roman" w:eastAsia="Calibri" w:hAnsi="Times New Roman" w:cs="Times New Roman"/>
          <w:sz w:val="28"/>
        </w:rPr>
        <w:t xml:space="preserve"> рішення оформлено в установленому порядку, розглянуто відповідними структурними підрозділами Київської міської ради і у відповідності до частини четвертої статті 34 Регламенту Київської міської ради може бути включено до </w:t>
      </w:r>
      <w:proofErr w:type="spellStart"/>
      <w:r w:rsidRPr="00C81ACA">
        <w:rPr>
          <w:rFonts w:ascii="Times New Roman" w:eastAsia="Calibri" w:hAnsi="Times New Roman" w:cs="Times New Roman"/>
          <w:sz w:val="28"/>
        </w:rPr>
        <w:t>проєкту</w:t>
      </w:r>
      <w:proofErr w:type="spellEnd"/>
      <w:r w:rsidRPr="00C81ACA">
        <w:rPr>
          <w:rFonts w:ascii="Times New Roman" w:eastAsia="Calibri" w:hAnsi="Times New Roman" w:cs="Times New Roman"/>
          <w:sz w:val="28"/>
        </w:rPr>
        <w:t xml:space="preserve"> порядку денного пленарного засідання</w:t>
      </w:r>
      <w:r>
        <w:rPr>
          <w:rFonts w:ascii="Times New Roman" w:eastAsia="Calibri" w:hAnsi="Times New Roman" w:cs="Times New Roman"/>
          <w:sz w:val="28"/>
        </w:rPr>
        <w:t xml:space="preserve"> сесії </w:t>
      </w:r>
      <w:r w:rsidRPr="00C81ACA">
        <w:rPr>
          <w:rFonts w:ascii="Times New Roman" w:eastAsia="Calibri" w:hAnsi="Times New Roman" w:cs="Times New Roman"/>
          <w:sz w:val="28"/>
        </w:rPr>
        <w:t>Київської міської ради за рішенням більшості голосів депутатів від загального складу Київської міської ради.</w:t>
      </w:r>
    </w:p>
    <w:p w:rsidR="00D11A75" w:rsidRPr="00C81ACA" w:rsidRDefault="00D11A75" w:rsidP="00DB2E6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11A75" w:rsidRPr="00C81ACA" w:rsidRDefault="00D11A75" w:rsidP="00DB2E6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A75" w:rsidRPr="00C81ACA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  <w:r w:rsidRPr="00C81AC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81ACA">
        <w:rPr>
          <w:rFonts w:ascii="Times New Roman" w:eastAsia="Calibri" w:hAnsi="Times New Roman" w:cs="Times New Roman"/>
          <w:sz w:val="28"/>
        </w:rPr>
        <w:t xml:space="preserve">Голова постійної комісії </w:t>
      </w:r>
    </w:p>
    <w:p w:rsidR="00D11A75" w:rsidRPr="00C81ACA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  <w:r w:rsidRPr="00C81ACA">
        <w:rPr>
          <w:rFonts w:ascii="Times New Roman" w:eastAsia="Calibri" w:hAnsi="Times New Roman" w:cs="Times New Roman"/>
          <w:sz w:val="28"/>
        </w:rPr>
        <w:t xml:space="preserve"> Київської міської ради з питань </w:t>
      </w:r>
    </w:p>
    <w:p w:rsidR="00D11A75" w:rsidRPr="00C81ACA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  <w:r w:rsidRPr="00C81ACA">
        <w:rPr>
          <w:rFonts w:ascii="Times New Roman" w:eastAsia="Calibri" w:hAnsi="Times New Roman" w:cs="Times New Roman"/>
          <w:sz w:val="28"/>
        </w:rPr>
        <w:t xml:space="preserve"> культури, туризму та суспільних </w:t>
      </w:r>
    </w:p>
    <w:p w:rsidR="00D11A75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  <w:r w:rsidRPr="00C81ACA">
        <w:rPr>
          <w:rFonts w:ascii="Times New Roman" w:eastAsia="Calibri" w:hAnsi="Times New Roman" w:cs="Times New Roman"/>
          <w:sz w:val="28"/>
        </w:rPr>
        <w:t xml:space="preserve"> комунікацій </w:t>
      </w:r>
      <w:r w:rsidRPr="00C81ACA">
        <w:rPr>
          <w:rFonts w:ascii="Times New Roman" w:eastAsia="Calibri" w:hAnsi="Times New Roman" w:cs="Times New Roman"/>
          <w:sz w:val="28"/>
        </w:rPr>
        <w:tab/>
        <w:t xml:space="preserve">                                                                               Вікторія МУХА</w:t>
      </w:r>
    </w:p>
    <w:p w:rsidR="009C0492" w:rsidRDefault="009C0492" w:rsidP="00D11A75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</w:p>
    <w:p w:rsidR="00D11A75" w:rsidRPr="00C81ACA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12"/>
          <w:szCs w:val="12"/>
        </w:rPr>
      </w:pPr>
      <w:r w:rsidRPr="00C81ACA">
        <w:rPr>
          <w:rFonts w:ascii="Times New Roman" w:eastAsia="Calibri" w:hAnsi="Times New Roman" w:cs="Times New Roman"/>
          <w:sz w:val="12"/>
          <w:szCs w:val="12"/>
        </w:rPr>
        <w:t>Тетяна ІГНАТЕНКО</w:t>
      </w:r>
    </w:p>
    <w:p w:rsidR="00D51BD1" w:rsidRPr="00D11A75" w:rsidRDefault="00D11A75" w:rsidP="00D11A75">
      <w:pPr>
        <w:spacing w:after="0" w:line="240" w:lineRule="atLeast"/>
        <w:rPr>
          <w:rFonts w:ascii="Times New Roman" w:eastAsia="Calibri" w:hAnsi="Times New Roman" w:cs="Times New Roman"/>
          <w:sz w:val="12"/>
          <w:szCs w:val="12"/>
        </w:rPr>
      </w:pPr>
      <w:r w:rsidRPr="00C81ACA">
        <w:rPr>
          <w:rFonts w:ascii="Times New Roman" w:eastAsia="Calibri" w:hAnsi="Times New Roman" w:cs="Times New Roman"/>
          <w:sz w:val="12"/>
          <w:szCs w:val="12"/>
        </w:rPr>
        <w:t>202-73-05</w:t>
      </w:r>
    </w:p>
    <w:sectPr w:rsidR="00D51BD1" w:rsidRPr="00D11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75"/>
    <w:rsid w:val="002626FF"/>
    <w:rsid w:val="002B6083"/>
    <w:rsid w:val="00880139"/>
    <w:rsid w:val="009C0492"/>
    <w:rsid w:val="009D0B0A"/>
    <w:rsid w:val="00AE2E38"/>
    <w:rsid w:val="00BC3CB8"/>
    <w:rsid w:val="00C72539"/>
    <w:rsid w:val="00CF774C"/>
    <w:rsid w:val="00D11A75"/>
    <w:rsid w:val="00D51BD1"/>
    <w:rsid w:val="00D801A7"/>
    <w:rsid w:val="00DB2E60"/>
    <w:rsid w:val="00EB0B92"/>
    <w:rsid w:val="00F44227"/>
    <w:rsid w:val="00F73AED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225F-BA28-4732-8B36-A9E33B7D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2</cp:revision>
  <cp:lastPrinted>2023-07-12T09:07:00Z</cp:lastPrinted>
  <dcterms:created xsi:type="dcterms:W3CDTF">2023-07-11T10:08:00Z</dcterms:created>
  <dcterms:modified xsi:type="dcterms:W3CDTF">2023-07-12T10:24:00Z</dcterms:modified>
</cp:coreProperties>
</file>