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1AB56" w14:textId="77777777" w:rsidR="00471A1C" w:rsidRDefault="007041B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1C6799F2" wp14:editId="4D898C9D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6D423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3E53103" w14:textId="77777777" w:rsidR="00471A1C" w:rsidRDefault="007041B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5A9601F3" w14:textId="77777777" w:rsidR="00471A1C" w:rsidRPr="002B51A1" w:rsidRDefault="007041B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47D5BA84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D6141BA" w14:textId="77777777" w:rsidR="00471A1C" w:rsidRDefault="007041B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47236C5D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350105ED" w14:textId="77777777" w:rsidR="00471A1C" w:rsidRDefault="007041B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034D1C49" w14:textId="77777777" w:rsidR="00F43F8E" w:rsidRPr="00F43F8E" w:rsidRDefault="00AA3C81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  <w:t>ПРОЄКТ</w:t>
      </w:r>
    </w:p>
    <w:p w14:paraId="4042BF10" w14:textId="77777777" w:rsidR="00471A1C" w:rsidRDefault="00471A1C">
      <w:pPr>
        <w:rPr>
          <w:color w:val="FFFFFF" w:themeColor="background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AA3C81" w14:paraId="6DF0BACD" w14:textId="77777777" w:rsidTr="00AA3C81">
        <w:tc>
          <w:tcPr>
            <w:tcW w:w="5240" w:type="dxa"/>
          </w:tcPr>
          <w:p w14:paraId="5BA8988A" w14:textId="77777777" w:rsidR="00AA3C81" w:rsidRDefault="00AA3C81" w:rsidP="00AA3C81">
            <w:pPr>
              <w:jc w:val="both"/>
              <w:rPr>
                <w:color w:val="FFFFFF" w:themeColor="background1"/>
              </w:rPr>
            </w:pPr>
            <w:r w:rsidRPr="00AA3C81">
              <w:rPr>
                <w:rFonts w:ascii="Times New Roman" w:eastAsia="Calibri" w:hAnsi="Times New Roman" w:cs="Calibri"/>
                <w:sz w:val="28"/>
                <w:szCs w:val="28"/>
              </w:rPr>
              <w:t xml:space="preserve">Про внесення  змін  до   Комплексної цільової програми підвищення енергоефективності та розвитку житлово-комунальної інфраструктури міста Києва на 2021–2025 роки, затвердженої рішенням Київської міської ради           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br/>
            </w:r>
            <w:r w:rsidRPr="00AA3C81">
              <w:rPr>
                <w:rFonts w:ascii="Times New Roman" w:eastAsia="Calibri" w:hAnsi="Times New Roman" w:cs="Calibri"/>
                <w:sz w:val="28"/>
                <w:szCs w:val="28"/>
              </w:rPr>
              <w:t>від 27 травня 2021 року № 1241/1282</w:t>
            </w:r>
          </w:p>
        </w:tc>
      </w:tr>
    </w:tbl>
    <w:p w14:paraId="473B2E0D" w14:textId="77777777" w:rsidR="00855ED7" w:rsidRDefault="00855ED7">
      <w:pPr>
        <w:rPr>
          <w:color w:val="FFFFFF" w:themeColor="background1"/>
        </w:rPr>
      </w:pPr>
    </w:p>
    <w:p w14:paraId="446291FF" w14:textId="4260E17A" w:rsidR="00855ED7" w:rsidRDefault="00855ED7" w:rsidP="00AA3C81">
      <w:pPr>
        <w:spacing w:after="0"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  <w:r w:rsidRPr="00855ED7">
        <w:rPr>
          <w:rFonts w:ascii="IBM Plex Serif" w:hAnsi="IBM Plex Serif"/>
          <w:sz w:val="28"/>
          <w:szCs w:val="28"/>
          <w:shd w:val="clear" w:color="auto" w:fill="FFFFFF"/>
        </w:rPr>
        <w:t>Відповідно до </w:t>
      </w:r>
      <w:hyperlink w:tgtFrame="_blank" w:history="1">
        <w:r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>Закону України «</w:t>
        </w:r>
        <w:r w:rsidRPr="00855ED7"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>Про місцеве самоврядування в Україні</w:t>
        </w:r>
      </w:hyperlink>
      <w:r>
        <w:rPr>
          <w:sz w:val="28"/>
          <w:szCs w:val="28"/>
        </w:rPr>
        <w:t>»</w:t>
      </w:r>
      <w:r w:rsidRPr="00855ED7">
        <w:rPr>
          <w:rFonts w:ascii="IBM Plex Serif" w:hAnsi="IBM Plex Serif"/>
          <w:sz w:val="28"/>
          <w:szCs w:val="28"/>
          <w:shd w:val="clear" w:color="auto" w:fill="FFFFFF"/>
        </w:rPr>
        <w:t>, </w:t>
      </w:r>
      <w:hyperlink w:tgtFrame="_blank" w:history="1">
        <w:r w:rsidRPr="00855ED7"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 xml:space="preserve">рішення Київської міської ради від 29 жовтня 2009 року </w:t>
        </w:r>
        <w:r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>№</w:t>
        </w:r>
        <w:r w:rsidR="00EB1206"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> </w:t>
        </w:r>
        <w:r w:rsidRPr="00855ED7"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 xml:space="preserve">520/2589 </w:t>
        </w:r>
        <w:r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>«</w:t>
        </w:r>
        <w:r w:rsidRPr="00855ED7"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>Про Порядок розроблення, затвердження та виконання міських цільових програм у місті Києві</w:t>
        </w:r>
      </w:hyperlink>
      <w:r>
        <w:rPr>
          <w:sz w:val="28"/>
          <w:szCs w:val="28"/>
        </w:rPr>
        <w:t>»</w:t>
      </w:r>
      <w:r w:rsidRPr="00855ED7">
        <w:rPr>
          <w:rFonts w:ascii="IBM Plex Serif" w:hAnsi="IBM Plex Serif"/>
          <w:sz w:val="28"/>
          <w:szCs w:val="28"/>
          <w:shd w:val="clear" w:color="auto" w:fill="FFFFFF"/>
        </w:rPr>
        <w:t>, з метою забезпечення реалізації положень </w:t>
      </w:r>
      <w:hyperlink w:tgtFrame="_blank" w:history="1">
        <w:r w:rsidRPr="00855ED7"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>Стратегії розвитку міста Києва до 2025 року</w:t>
        </w:r>
      </w:hyperlink>
      <w:r w:rsidRPr="00855ED7">
        <w:rPr>
          <w:rFonts w:ascii="IBM Plex Serif" w:hAnsi="IBM Plex Serif"/>
          <w:sz w:val="28"/>
          <w:szCs w:val="28"/>
          <w:shd w:val="clear" w:color="auto" w:fill="FFFFFF"/>
        </w:rPr>
        <w:t>, затвердженої </w:t>
      </w:r>
      <w:hyperlink w:tgtFrame="_blank" w:history="1">
        <w:r w:rsidRPr="00855ED7"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 xml:space="preserve">рішенням Київської міської ради від 15 грудня 2011 року </w:t>
        </w:r>
        <w:r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>№</w:t>
        </w:r>
        <w:r w:rsidRPr="00855ED7">
          <w:rPr>
            <w:rStyle w:val="hard-blue-color"/>
            <w:rFonts w:ascii="IBM Plex Serif" w:hAnsi="IBM Plex Serif"/>
            <w:sz w:val="28"/>
            <w:szCs w:val="28"/>
            <w:shd w:val="clear" w:color="auto" w:fill="FFFFFF"/>
          </w:rPr>
          <w:t xml:space="preserve"> 824/7060</w:t>
        </w:r>
      </w:hyperlink>
      <w:r w:rsidRPr="00855ED7">
        <w:rPr>
          <w:rFonts w:ascii="IBM Plex Serif" w:hAnsi="IBM Plex Serif"/>
          <w:sz w:val="28"/>
          <w:szCs w:val="28"/>
          <w:shd w:val="clear" w:color="auto" w:fill="FFFFFF"/>
        </w:rPr>
        <w:t xml:space="preserve">, </w:t>
      </w:r>
      <w:r w:rsidR="00AA3C81">
        <w:rPr>
          <w:rFonts w:ascii="IBM Plex Serif" w:hAnsi="IBM Plex Serif"/>
          <w:sz w:val="28"/>
          <w:szCs w:val="28"/>
          <w:shd w:val="clear" w:color="auto" w:fill="FFFFFF"/>
        </w:rPr>
        <w:t>з метою</w:t>
      </w:r>
      <w:r w:rsidRPr="00855ED7">
        <w:rPr>
          <w:rFonts w:ascii="IBM Plex Serif" w:hAnsi="IBM Plex Serif"/>
          <w:sz w:val="28"/>
          <w:szCs w:val="28"/>
          <w:shd w:val="clear" w:color="auto" w:fill="FFFFFF"/>
        </w:rPr>
        <w:t xml:space="preserve"> підвищення комфорту життя мешканців м. Києва</w:t>
      </w:r>
      <w:r w:rsidR="00AA3C81">
        <w:rPr>
          <w:rFonts w:ascii="IBM Plex Serif" w:hAnsi="IBM Plex Serif"/>
          <w:sz w:val="28"/>
          <w:szCs w:val="28"/>
          <w:shd w:val="clear" w:color="auto" w:fill="FFFFFF"/>
        </w:rPr>
        <w:t xml:space="preserve">, </w:t>
      </w:r>
      <w:r w:rsidR="00AA3C81" w:rsidRPr="00AA3C81">
        <w:rPr>
          <w:rFonts w:ascii="IBM Plex Serif" w:hAnsi="IBM Plex Serif"/>
          <w:sz w:val="28"/>
          <w:szCs w:val="28"/>
          <w:shd w:val="clear" w:color="auto" w:fill="FFFFFF"/>
        </w:rPr>
        <w:t>Київська міська рада</w:t>
      </w:r>
    </w:p>
    <w:p w14:paraId="1487C559" w14:textId="77777777" w:rsidR="00AA3C81" w:rsidRDefault="00AA3C81" w:rsidP="00AA3C81">
      <w:pPr>
        <w:spacing w:after="0"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37AA956A" w14:textId="77777777" w:rsidR="00AA3C81" w:rsidRDefault="00AA3C81" w:rsidP="00AA3C81">
      <w:pPr>
        <w:spacing w:after="0"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  <w:r w:rsidRPr="00AA3C81">
        <w:rPr>
          <w:rFonts w:ascii="IBM Plex Serif" w:hAnsi="IBM Plex Serif"/>
          <w:sz w:val="28"/>
          <w:szCs w:val="28"/>
          <w:shd w:val="clear" w:color="auto" w:fill="FFFFFF"/>
        </w:rPr>
        <w:t>ВИРІШИЛА:</w:t>
      </w:r>
    </w:p>
    <w:p w14:paraId="2632D22F" w14:textId="77777777" w:rsidR="00AA3C81" w:rsidRPr="00AA3C81" w:rsidRDefault="00AA3C81" w:rsidP="00AA3C81">
      <w:pPr>
        <w:spacing w:after="0"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06B62447" w14:textId="15DDB6D7" w:rsidR="00AA3C81" w:rsidRPr="00AA3C81" w:rsidRDefault="00AA3C81" w:rsidP="00AA3C81">
      <w:pPr>
        <w:spacing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  <w:r w:rsidRPr="00AA3C81">
        <w:rPr>
          <w:rFonts w:ascii="IBM Plex Serif" w:hAnsi="IBM Plex Serif"/>
          <w:sz w:val="28"/>
          <w:szCs w:val="28"/>
          <w:shd w:val="clear" w:color="auto" w:fill="FFFFFF"/>
        </w:rPr>
        <w:t xml:space="preserve">1. </w:t>
      </w:r>
      <w:proofErr w:type="spellStart"/>
      <w:r w:rsidRPr="00AA3C81">
        <w:rPr>
          <w:rFonts w:ascii="IBM Plex Serif" w:hAnsi="IBM Plex Serif"/>
          <w:sz w:val="28"/>
          <w:szCs w:val="28"/>
          <w:shd w:val="clear" w:color="auto" w:fill="FFFFFF"/>
        </w:rPr>
        <w:t>Унести</w:t>
      </w:r>
      <w:proofErr w:type="spellEnd"/>
      <w:r w:rsidRPr="00AA3C81">
        <w:rPr>
          <w:rFonts w:ascii="IBM Plex Serif" w:hAnsi="IBM Plex Serif"/>
          <w:sz w:val="28"/>
          <w:szCs w:val="28"/>
          <w:shd w:val="clear" w:color="auto" w:fill="FFFFFF"/>
        </w:rPr>
        <w:t xml:space="preserve"> до Комплексної цільової програми підвищення енергоефективності та розвитку житлово-комунальної інфраструктури міста Києва на 2021–2025 роки, затвердженої рішенням Київської міської ради  від 27</w:t>
      </w:r>
      <w:r w:rsidR="00EB1206">
        <w:rPr>
          <w:rFonts w:ascii="IBM Plex Serif" w:hAnsi="IBM Plex Serif"/>
          <w:sz w:val="28"/>
          <w:szCs w:val="28"/>
          <w:shd w:val="clear" w:color="auto" w:fill="FFFFFF"/>
        </w:rPr>
        <w:t> </w:t>
      </w:r>
      <w:r w:rsidRPr="00AA3C81">
        <w:rPr>
          <w:rFonts w:ascii="IBM Plex Serif" w:hAnsi="IBM Plex Serif"/>
          <w:sz w:val="28"/>
          <w:szCs w:val="28"/>
          <w:shd w:val="clear" w:color="auto" w:fill="FFFFFF"/>
        </w:rPr>
        <w:t>травня 2021 року № 1241/1282  (далі – Програма),  такі зміни:</w:t>
      </w:r>
    </w:p>
    <w:p w14:paraId="03096821" w14:textId="18658361" w:rsidR="00AA3C81" w:rsidRPr="00AA3C81" w:rsidRDefault="00AA3C81" w:rsidP="00AA3C81">
      <w:pPr>
        <w:spacing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  <w:r w:rsidRPr="00CE1920">
        <w:rPr>
          <w:rFonts w:ascii="IBM Plex Serif" w:hAnsi="IBM Plex Serif"/>
          <w:sz w:val="28"/>
          <w:szCs w:val="28"/>
          <w:shd w:val="clear" w:color="auto" w:fill="FFFFFF"/>
        </w:rPr>
        <w:t>1.1</w:t>
      </w:r>
      <w:r w:rsidR="00103D3F" w:rsidRPr="00CE1920">
        <w:rPr>
          <w:rFonts w:ascii="IBM Plex Serif" w:hAnsi="IBM Plex Serif"/>
          <w:sz w:val="28"/>
          <w:szCs w:val="28"/>
          <w:shd w:val="clear" w:color="auto" w:fill="FFFFFF"/>
        </w:rPr>
        <w:t>.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 У розділі </w:t>
      </w:r>
      <w:r w:rsidR="0036684B" w:rsidRPr="00CE1920">
        <w:rPr>
          <w:rFonts w:ascii="IBM Plex Serif" w:hAnsi="IBM Plex Serif"/>
          <w:sz w:val="28"/>
          <w:szCs w:val="28"/>
          <w:shd w:val="clear" w:color="auto" w:fill="FFFFFF"/>
        </w:rPr>
        <w:t>1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 «</w:t>
      </w:r>
      <w:r w:rsidR="0036684B" w:rsidRPr="00CE1920">
        <w:rPr>
          <w:rFonts w:ascii="IBM Plex Serif" w:hAnsi="IBM Plex Serif"/>
          <w:sz w:val="28"/>
          <w:szCs w:val="28"/>
          <w:shd w:val="clear" w:color="auto" w:fill="FFFFFF"/>
        </w:rPr>
        <w:t>ПАСПОРТ КОМПЛЕКСНОЇ ЦІЛЬОВОЇ ПРОГРАМИ ПІДВИЩЕННЯ ЕНЕРГОЕФЕКТИВНОСТІ ТА РОЗВИТКУ ЖИТЛОВО-КОМУНАЛЬНОЇ ІНФРАСТРУКТУРИ МІСТА КИЄВА НА 2021 - 2025 РОКИ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» </w:t>
      </w:r>
      <w:r w:rsidR="00103D3F"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графу 3 </w:t>
      </w:r>
      <w:r w:rsidR="003F6248"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 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позиції 6 «Співвиконавці 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lastRenderedPageBreak/>
        <w:t>програми</w:t>
      </w:r>
      <w:r w:rsidR="007332DB">
        <w:rPr>
          <w:rFonts w:ascii="IBM Plex Serif" w:hAnsi="IBM Plex Serif"/>
          <w:sz w:val="28"/>
          <w:szCs w:val="28"/>
          <w:shd w:val="clear" w:color="auto" w:fill="FFFFFF"/>
        </w:rPr>
        <w:t>»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 після слів </w:t>
      </w:r>
      <w:r w:rsidR="0036684B"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та знаків  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«Департамент охорони здоров’я виконавчого органу Київської міської ради (Київської міської </w:t>
      </w:r>
      <w:r w:rsidR="006E31F0" w:rsidRPr="00CE1920">
        <w:rPr>
          <w:rFonts w:ascii="IBM Plex Serif" w:hAnsi="IBM Plex Serif"/>
          <w:sz w:val="28"/>
          <w:szCs w:val="28"/>
          <w:shd w:val="clear" w:color="auto" w:fill="FFFFFF"/>
        </w:rPr>
        <w:t>державної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 адміністрації)</w:t>
      </w:r>
      <w:r w:rsidR="006E31F0" w:rsidRPr="00CE1920">
        <w:rPr>
          <w:rFonts w:ascii="IBM Plex Serif" w:hAnsi="IBM Plex Serif"/>
          <w:sz w:val="28"/>
          <w:szCs w:val="28"/>
          <w:shd w:val="clear" w:color="auto" w:fill="FFFFFF"/>
        </w:rPr>
        <w:t>» д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оповнити словами </w:t>
      </w:r>
      <w:r w:rsidR="0036684B"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та знаками 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«Департамент будівництва та житлового забезпечення виконавчого органу Київської міської ради (Київської міської </w:t>
      </w:r>
      <w:r w:rsidR="006E31F0" w:rsidRPr="00CE1920">
        <w:rPr>
          <w:rFonts w:ascii="IBM Plex Serif" w:hAnsi="IBM Plex Serif"/>
          <w:sz w:val="28"/>
          <w:szCs w:val="28"/>
          <w:shd w:val="clear" w:color="auto" w:fill="FFFFFF"/>
        </w:rPr>
        <w:t>державної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 адміністрації)</w:t>
      </w:r>
      <w:r w:rsidR="00991692">
        <w:rPr>
          <w:rFonts w:ascii="IBM Plex Serif" w:hAnsi="IBM Plex Serif"/>
          <w:sz w:val="28"/>
          <w:szCs w:val="28"/>
          <w:shd w:val="clear" w:color="auto" w:fill="FFFFFF"/>
        </w:rPr>
        <w:t xml:space="preserve">, </w:t>
      </w:r>
      <w:r w:rsidR="00487E18">
        <w:rPr>
          <w:rFonts w:ascii="IBM Plex Serif" w:hAnsi="IBM Plex Serif"/>
          <w:sz w:val="28"/>
          <w:szCs w:val="28"/>
          <w:shd w:val="clear" w:color="auto" w:fill="FFFFFF"/>
        </w:rPr>
        <w:t>керуючі компанії з обслуговування житлового фонду районів м. Києва»</w:t>
      </w:r>
      <w:r w:rsidR="006E31F0" w:rsidRPr="00CE1920">
        <w:rPr>
          <w:rFonts w:ascii="IBM Plex Serif" w:hAnsi="IBM Plex Serif"/>
          <w:sz w:val="28"/>
          <w:szCs w:val="28"/>
          <w:shd w:val="clear" w:color="auto" w:fill="FFFFFF"/>
        </w:rPr>
        <w:t>.</w:t>
      </w:r>
    </w:p>
    <w:p w14:paraId="0A0A57D6" w14:textId="73CB9C61" w:rsidR="009632AB" w:rsidRPr="00AA3C81" w:rsidRDefault="00AA3C81" w:rsidP="009632AB">
      <w:pPr>
        <w:spacing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  <w:r w:rsidRPr="00CE1920">
        <w:rPr>
          <w:rFonts w:ascii="IBM Plex Serif" w:hAnsi="IBM Plex Serif"/>
          <w:sz w:val="28"/>
          <w:szCs w:val="28"/>
          <w:shd w:val="clear" w:color="auto" w:fill="FFFFFF"/>
        </w:rPr>
        <w:t>1.2</w:t>
      </w:r>
      <w:r w:rsidR="00103D3F" w:rsidRPr="00CE1920">
        <w:rPr>
          <w:rFonts w:ascii="IBM Plex Serif" w:hAnsi="IBM Plex Serif"/>
          <w:sz w:val="28"/>
          <w:szCs w:val="28"/>
          <w:shd w:val="clear" w:color="auto" w:fill="FFFFFF"/>
        </w:rPr>
        <w:t>.</w:t>
      </w:r>
      <w:r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 У додатку 1 до Програми </w:t>
      </w:r>
      <w:r w:rsidR="00103D3F"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у розділі 1 «ТЕХНІЧНЕ ПЕРЕОСНАЩЕННЯ ТА ПІДВИЩЕННЯ ЕНЕРГОЕФЕКТИВНОСТІ У ГАЛУЗЯХ ЖИТЛОВО-КОМУНАЛЬНОГО ГОСПОДАРСТВА» </w:t>
      </w:r>
      <w:r w:rsidR="0036684B"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у позиції 1.1.12 пункту 1.1 «Житловий фонд і благоустрій прибудинкової території» графу </w:t>
      </w:r>
      <w:r w:rsidR="00B11116" w:rsidRPr="004757BA">
        <w:rPr>
          <w:rFonts w:ascii="IBM Plex Serif" w:hAnsi="IBM Plex Serif"/>
          <w:sz w:val="28"/>
          <w:szCs w:val="28"/>
          <w:shd w:val="clear" w:color="auto" w:fill="FFFFFF"/>
        </w:rPr>
        <w:t>5</w:t>
      </w:r>
      <w:r w:rsidR="0036684B" w:rsidRPr="00CE1920">
        <w:rPr>
          <w:rFonts w:ascii="IBM Plex Serif" w:hAnsi="IBM Plex Serif"/>
          <w:sz w:val="28"/>
          <w:szCs w:val="28"/>
          <w:shd w:val="clear" w:color="auto" w:fill="FFFFFF"/>
        </w:rPr>
        <w:t xml:space="preserve"> «Виконавці заходу»</w:t>
      </w:r>
      <w:r w:rsidR="0036684B" w:rsidRPr="0036684B">
        <w:rPr>
          <w:rFonts w:ascii="IBM Plex Serif" w:hAnsi="IBM Plex Serif"/>
          <w:sz w:val="28"/>
          <w:szCs w:val="28"/>
          <w:shd w:val="clear" w:color="auto" w:fill="FFFFFF"/>
        </w:rPr>
        <w:t xml:space="preserve"> доповнити словами </w:t>
      </w:r>
      <w:r w:rsidRPr="00AA3C81">
        <w:rPr>
          <w:rFonts w:ascii="IBM Plex Serif" w:hAnsi="IBM Plex Serif"/>
          <w:sz w:val="28"/>
          <w:szCs w:val="28"/>
          <w:shd w:val="clear" w:color="auto" w:fill="FFFFFF"/>
        </w:rPr>
        <w:t>«Департамент будівництва та житлового забезпечення</w:t>
      </w:r>
      <w:r w:rsidR="003F6248">
        <w:rPr>
          <w:rFonts w:ascii="IBM Plex Serif" w:hAnsi="IBM Plex Serif"/>
          <w:sz w:val="28"/>
          <w:szCs w:val="28"/>
          <w:shd w:val="clear" w:color="auto" w:fill="FFFFFF"/>
        </w:rPr>
        <w:t xml:space="preserve"> міста Києва</w:t>
      </w:r>
      <w:r w:rsidR="00802656">
        <w:rPr>
          <w:rFonts w:ascii="IBM Plex Serif" w:hAnsi="IBM Plex Serif"/>
          <w:sz w:val="28"/>
          <w:szCs w:val="28"/>
          <w:shd w:val="clear" w:color="auto" w:fill="FFFFFF"/>
        </w:rPr>
        <w:t xml:space="preserve">, </w:t>
      </w:r>
      <w:r w:rsidR="009632AB">
        <w:rPr>
          <w:rFonts w:ascii="IBM Plex Serif" w:hAnsi="IBM Plex Serif"/>
          <w:sz w:val="28"/>
          <w:szCs w:val="28"/>
          <w:shd w:val="clear" w:color="auto" w:fill="FFFFFF"/>
        </w:rPr>
        <w:t>керуючі компанії з обслуговування житлового фонду районів м. Києва»</w:t>
      </w:r>
      <w:r w:rsidR="009632AB" w:rsidRPr="00CE1920">
        <w:rPr>
          <w:rFonts w:ascii="IBM Plex Serif" w:hAnsi="IBM Plex Serif"/>
          <w:sz w:val="28"/>
          <w:szCs w:val="28"/>
          <w:shd w:val="clear" w:color="auto" w:fill="FFFFFF"/>
        </w:rPr>
        <w:t>.</w:t>
      </w:r>
    </w:p>
    <w:p w14:paraId="7CF94B57" w14:textId="77777777" w:rsidR="00AA3C81" w:rsidRPr="00AA3C81" w:rsidRDefault="00AA3C81" w:rsidP="006E31F0">
      <w:pPr>
        <w:spacing w:after="0"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  <w:r w:rsidRPr="00AA3C81">
        <w:rPr>
          <w:rFonts w:ascii="IBM Plex Serif" w:hAnsi="IBM Plex Serif"/>
          <w:sz w:val="28"/>
          <w:szCs w:val="28"/>
          <w:shd w:val="clear" w:color="auto" w:fill="FFFFFF"/>
        </w:rPr>
        <w:t>2. Оприлюднити це рішення в установленому порядку.</w:t>
      </w:r>
    </w:p>
    <w:p w14:paraId="02CC35EE" w14:textId="77777777" w:rsidR="00AA3C81" w:rsidRPr="00AA3C81" w:rsidRDefault="00AA3C81" w:rsidP="006E31F0">
      <w:pPr>
        <w:spacing w:after="0"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  <w:r w:rsidRPr="00AA3C81">
        <w:rPr>
          <w:rFonts w:ascii="IBM Plex Serif" w:hAnsi="IBM Plex Serif"/>
          <w:sz w:val="28"/>
          <w:szCs w:val="28"/>
          <w:shd w:val="clear" w:color="auto" w:fill="FFFFFF"/>
        </w:rPr>
        <w:t xml:space="preserve">3. Контроль за виконанням цього рішення покласти на постійну комісію Київської міської ради з питань житлово-комунального господарства та паливно-енергетичного комплексу та на постійну комісію Київської міської ради з питань бюджету, соціально-економічного розвитку та інвестиційної діяльності. </w:t>
      </w:r>
    </w:p>
    <w:p w14:paraId="6F3D9F89" w14:textId="77777777" w:rsidR="00AA3C81" w:rsidRPr="00AA3C81" w:rsidRDefault="00AA3C81" w:rsidP="00AA3C81">
      <w:pPr>
        <w:spacing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2A1E2DD4" w14:textId="77777777" w:rsidR="00AA3C81" w:rsidRPr="00AA3C81" w:rsidRDefault="00AA3C81" w:rsidP="006E31F0">
      <w:pPr>
        <w:spacing w:line="240" w:lineRule="auto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  <w:r w:rsidRPr="00AA3C81">
        <w:rPr>
          <w:rFonts w:ascii="IBM Plex Serif" w:hAnsi="IBM Plex Serif"/>
          <w:sz w:val="28"/>
          <w:szCs w:val="28"/>
          <w:shd w:val="clear" w:color="auto" w:fill="FFFFFF"/>
        </w:rPr>
        <w:t>Київський міський голова</w:t>
      </w:r>
      <w:r w:rsidRPr="00AA3C81">
        <w:rPr>
          <w:rFonts w:ascii="IBM Plex Serif" w:hAnsi="IBM Plex Serif"/>
          <w:sz w:val="28"/>
          <w:szCs w:val="28"/>
          <w:shd w:val="clear" w:color="auto" w:fill="FFFFFF"/>
        </w:rPr>
        <w:tab/>
        <w:t xml:space="preserve">                                </w:t>
      </w:r>
      <w:r w:rsidR="006E31F0">
        <w:rPr>
          <w:rFonts w:ascii="IBM Plex Serif" w:hAnsi="IBM Plex Serif"/>
          <w:sz w:val="28"/>
          <w:szCs w:val="28"/>
          <w:shd w:val="clear" w:color="auto" w:fill="FFFFFF"/>
        </w:rPr>
        <w:t xml:space="preserve">        </w:t>
      </w:r>
      <w:r w:rsidR="00260790">
        <w:rPr>
          <w:rFonts w:ascii="IBM Plex Serif" w:hAnsi="IBM Plex Serif"/>
          <w:sz w:val="28"/>
          <w:szCs w:val="28"/>
          <w:shd w:val="clear" w:color="auto" w:fill="FFFFFF"/>
        </w:rPr>
        <w:t xml:space="preserve">      </w:t>
      </w:r>
      <w:r w:rsidRPr="00AA3C81">
        <w:rPr>
          <w:rFonts w:ascii="IBM Plex Serif" w:hAnsi="IBM Plex Serif"/>
          <w:sz w:val="28"/>
          <w:szCs w:val="28"/>
          <w:shd w:val="clear" w:color="auto" w:fill="FFFFFF"/>
        </w:rPr>
        <w:t>Віталій КЛИЧКО</w:t>
      </w:r>
    </w:p>
    <w:p w14:paraId="62D0ED83" w14:textId="77777777" w:rsidR="00AA3C81" w:rsidRPr="00AA3C81" w:rsidRDefault="00AA3C81" w:rsidP="00AA3C81">
      <w:pPr>
        <w:spacing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0434B015" w14:textId="77777777" w:rsidR="00AA3C81" w:rsidRPr="00AA3C81" w:rsidRDefault="00AA3C81" w:rsidP="00AA3C81">
      <w:pPr>
        <w:spacing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7453C1E9" w14:textId="77777777" w:rsidR="00AA3C81" w:rsidRDefault="00AA3C81" w:rsidP="00AA3C81">
      <w:pPr>
        <w:spacing w:line="240" w:lineRule="auto"/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4C42EEE5" w14:textId="77777777" w:rsidR="00855ED7" w:rsidRDefault="00855ED7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3ED3ACB8" w14:textId="77777777" w:rsidR="00855ED7" w:rsidRDefault="00855ED7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5995ED67" w14:textId="77777777" w:rsidR="00855ED7" w:rsidRDefault="00855ED7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67C16B19" w14:textId="77777777" w:rsidR="00855ED7" w:rsidRDefault="00855ED7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02368064" w14:textId="77777777" w:rsidR="00855ED7" w:rsidRDefault="00855ED7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7FE83BCA" w14:textId="77777777" w:rsidR="00855ED7" w:rsidRDefault="00855ED7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0B4AAED2" w14:textId="77777777" w:rsidR="00855ED7" w:rsidRDefault="00855ED7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4B217133" w14:textId="77777777" w:rsidR="00855ED7" w:rsidRDefault="00855ED7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5D00933B" w14:textId="77777777" w:rsidR="00855ED7" w:rsidRDefault="00855ED7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7A1D393D" w14:textId="77777777" w:rsidR="00855ED7" w:rsidRDefault="00855ED7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4E29CE33" w14:textId="77777777" w:rsidR="006E31F0" w:rsidRDefault="006E31F0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34D849E1" w14:textId="77777777" w:rsidR="006E31F0" w:rsidRDefault="006E31F0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6896FDEC" w14:textId="77777777" w:rsidR="006E31F0" w:rsidRDefault="006E31F0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039847FD" w14:textId="77777777" w:rsidR="006E31F0" w:rsidRDefault="006E31F0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040E750E" w14:textId="77777777" w:rsidR="006E31F0" w:rsidRDefault="006E31F0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39AD39C8" w14:textId="77CACEB4" w:rsidR="006E31F0" w:rsidRDefault="006E31F0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3A68D1FE" w14:textId="77777777" w:rsidR="001C26AD" w:rsidRDefault="001C26AD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  <w:bookmarkStart w:id="0" w:name="_GoBack"/>
      <w:bookmarkEnd w:id="0"/>
    </w:p>
    <w:p w14:paraId="06FC8FCE" w14:textId="77777777" w:rsidR="00855ED7" w:rsidRPr="00955717" w:rsidRDefault="00855ED7" w:rsidP="00855ED7">
      <w:pPr>
        <w:tabs>
          <w:tab w:val="left" w:pos="6552"/>
        </w:tabs>
        <w:suppressAutoHyphens/>
        <w:overflowPunct w:val="0"/>
        <w:jc w:val="both"/>
        <w:rPr>
          <w:rFonts w:ascii="Calibri" w:eastAsia="Calibri" w:hAnsi="Calibri" w:cs="F"/>
          <w:kern w:val="2"/>
        </w:rPr>
      </w:pPr>
      <w:r w:rsidRPr="00955717">
        <w:rPr>
          <w:rFonts w:ascii="Times New Roman" w:eastAsia="Calibri" w:hAnsi="Times New Roman" w:cs="Times New Roman"/>
          <w:b/>
          <w:color w:val="00000A"/>
          <w:sz w:val="26"/>
          <w:szCs w:val="26"/>
        </w:rPr>
        <w:t>ПО</w:t>
      </w:r>
      <w:r>
        <w:rPr>
          <w:rFonts w:ascii="Times New Roman" w:eastAsia="Calibri" w:hAnsi="Times New Roman" w:cs="Times New Roman"/>
          <w:b/>
          <w:color w:val="00000A"/>
          <w:sz w:val="26"/>
          <w:szCs w:val="26"/>
        </w:rPr>
        <w:t>ДАННЯ</w:t>
      </w:r>
      <w:r w:rsidRPr="00955717">
        <w:rPr>
          <w:rFonts w:ascii="Times New Roman" w:eastAsia="Calibri" w:hAnsi="Times New Roman" w:cs="Times New Roman"/>
          <w:b/>
          <w:color w:val="00000A"/>
          <w:sz w:val="26"/>
          <w:szCs w:val="26"/>
        </w:rPr>
        <w:t>:</w:t>
      </w:r>
      <w:r w:rsidRPr="00955717">
        <w:rPr>
          <w:rFonts w:ascii="Times New Roman" w:eastAsia="Calibri" w:hAnsi="Times New Roman" w:cs="Times New Roman"/>
          <w:b/>
          <w:color w:val="00000A"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3708"/>
      </w:tblGrid>
      <w:tr w:rsidR="00D95DEB" w:rsidRPr="00D95DEB" w14:paraId="6FE2BF1D" w14:textId="77777777" w:rsidTr="006D573C">
        <w:tc>
          <w:tcPr>
            <w:tcW w:w="3510" w:type="dxa"/>
            <w:shd w:val="clear" w:color="auto" w:fill="auto"/>
          </w:tcPr>
          <w:p w14:paraId="5839E99E" w14:textId="77777777" w:rsidR="00D95DEB" w:rsidRPr="00D95DEB" w:rsidRDefault="00D95DEB" w:rsidP="00D95D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A"/>
                <w:sz w:val="28"/>
                <w:szCs w:val="28"/>
                <w:lang w:eastAsia="zh-CN"/>
              </w:rPr>
            </w:pPr>
            <w:r w:rsidRPr="00D95DEB">
              <w:rPr>
                <w:rFonts w:ascii="Times New Roman" w:eastAsia="Calibri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Депутат Київської міської ради</w:t>
            </w:r>
          </w:p>
        </w:tc>
        <w:tc>
          <w:tcPr>
            <w:tcW w:w="2127" w:type="dxa"/>
            <w:shd w:val="clear" w:color="auto" w:fill="auto"/>
          </w:tcPr>
          <w:p w14:paraId="40C43647" w14:textId="77777777" w:rsidR="00D95DEB" w:rsidRPr="00D95DEB" w:rsidRDefault="00D95DEB" w:rsidP="00D95D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3708" w:type="dxa"/>
            <w:shd w:val="clear" w:color="auto" w:fill="auto"/>
          </w:tcPr>
          <w:p w14:paraId="42632081" w14:textId="77777777" w:rsidR="00D95DEB" w:rsidRPr="00D95DEB" w:rsidRDefault="00D95DEB" w:rsidP="00D95D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A"/>
                <w:sz w:val="28"/>
                <w:szCs w:val="28"/>
                <w:lang w:eastAsia="zh-CN"/>
              </w:rPr>
            </w:pPr>
            <w:r w:rsidRPr="00D95DEB">
              <w:rPr>
                <w:rFonts w:ascii="Times New Roman" w:eastAsia="Calibri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Дмитро БІЛОЦЕРКОВЕЦЬ</w:t>
            </w:r>
          </w:p>
        </w:tc>
      </w:tr>
    </w:tbl>
    <w:p w14:paraId="152777D9" w14:textId="1157C52C" w:rsidR="00855ED7" w:rsidRDefault="00855ED7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6F33D15E" w14:textId="77777777" w:rsidR="00D05332" w:rsidRDefault="00D05332" w:rsidP="00855ED7">
      <w:pPr>
        <w:ind w:firstLine="708"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</w:p>
    <w:p w14:paraId="544FD68E" w14:textId="77777777" w:rsidR="00855ED7" w:rsidRP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</w:pPr>
      <w:r w:rsidRPr="00855ED7"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  <w:t>ПОГОДЖЕННЯ:</w:t>
      </w:r>
    </w:p>
    <w:p w14:paraId="15E6E127" w14:textId="77777777" w:rsidR="00855ED7" w:rsidRP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</w:pPr>
    </w:p>
    <w:p w14:paraId="5558474B" w14:textId="77777777" w:rsidR="00855ED7" w:rsidRP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Постійна комісія Київської міської ради</w:t>
      </w: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ab/>
      </w: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ab/>
      </w: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ab/>
      </w:r>
    </w:p>
    <w:p w14:paraId="36B3F5F1" w14:textId="77777777" w:rsidR="00855ED7" w:rsidRP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 xml:space="preserve">з </w:t>
      </w:r>
      <w:proofErr w:type="spellStart"/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>питань</w:t>
      </w:r>
      <w:proofErr w:type="spellEnd"/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 xml:space="preserve"> </w:t>
      </w:r>
      <w:proofErr w:type="spellStart"/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>житлово-комунального</w:t>
      </w:r>
      <w:proofErr w:type="spellEnd"/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 xml:space="preserve"> </w:t>
      </w:r>
      <w:proofErr w:type="spellStart"/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>господарства</w:t>
      </w:r>
      <w:proofErr w:type="spellEnd"/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 xml:space="preserve"> </w:t>
      </w:r>
    </w:p>
    <w:p w14:paraId="30EEF565" w14:textId="77777777" w:rsidR="00855ED7" w:rsidRP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 xml:space="preserve">та </w:t>
      </w:r>
      <w:proofErr w:type="spellStart"/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>паливно-енергетичного</w:t>
      </w:r>
      <w:proofErr w:type="spellEnd"/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 xml:space="preserve"> комплексу:</w:t>
      </w:r>
    </w:p>
    <w:p w14:paraId="5A48EB2C" w14:textId="77777777" w:rsid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</w:p>
    <w:p w14:paraId="3A72DBC3" w14:textId="77777777" w:rsidR="00855ED7" w:rsidRP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</w:p>
    <w:p w14:paraId="6365AD71" w14:textId="77777777" w:rsid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 xml:space="preserve">Голова                                                 </w:t>
      </w: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  </w:t>
      </w: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 xml:space="preserve">  </w:t>
      </w: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ab/>
      </w: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ab/>
        <w:t xml:space="preserve">         </w:t>
      </w: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>Олександр БРОДСЬКИЙ</w:t>
      </w:r>
    </w:p>
    <w:p w14:paraId="4EBBAD94" w14:textId="77777777" w:rsid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</w:p>
    <w:p w14:paraId="10FEE554" w14:textId="77777777" w:rsidR="00855ED7" w:rsidRP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</w:p>
    <w:p w14:paraId="1DB083D6" w14:textId="77777777" w:rsidR="00855ED7" w:rsidRP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</w:p>
    <w:p w14:paraId="17BE64B0" w14:textId="77777777" w:rsidR="00855ED7" w:rsidRP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  <w:proofErr w:type="spellStart"/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>Секретар</w:t>
      </w:r>
      <w:proofErr w:type="spellEnd"/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 xml:space="preserve">                                             </w:t>
      </w: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        </w:t>
      </w: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 xml:space="preserve"> </w:t>
      </w: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ab/>
      </w: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ab/>
      </w: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ab/>
        <w:t xml:space="preserve">     </w:t>
      </w:r>
      <w:r w:rsidRPr="00855ED7"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  <w:t>Тарас КРИВОРУЧКО</w:t>
      </w:r>
    </w:p>
    <w:p w14:paraId="7E297366" w14:textId="77777777" w:rsid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</w:p>
    <w:p w14:paraId="173D0A7E" w14:textId="77777777" w:rsidR="00855ED7" w:rsidRP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</w:p>
    <w:p w14:paraId="1BC82FC2" w14:textId="77777777" w:rsidR="00855ED7" w:rsidRPr="00855ED7" w:rsidRDefault="00855ED7" w:rsidP="00855ED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  <w:lang w:val="ru-RU" w:eastAsia="zh-CN"/>
        </w:rPr>
      </w:pPr>
    </w:p>
    <w:p w14:paraId="69DCF0DA" w14:textId="77777777" w:rsidR="00855ED7" w:rsidRPr="00855ED7" w:rsidRDefault="00855ED7" w:rsidP="00855ED7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55ED7">
        <w:rPr>
          <w:rFonts w:ascii="Times New Roman" w:eastAsia="Calibri" w:hAnsi="Times New Roman" w:cs="Times New Roman"/>
          <w:color w:val="00000A"/>
          <w:sz w:val="28"/>
          <w:szCs w:val="28"/>
        </w:rPr>
        <w:t>Постійна комісія Київської міської ради</w:t>
      </w:r>
    </w:p>
    <w:p w14:paraId="5C10D10E" w14:textId="77777777" w:rsidR="00855ED7" w:rsidRP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>з питань бюджету, соціально-</w:t>
      </w:r>
    </w:p>
    <w:p w14:paraId="0C30FB94" w14:textId="77777777" w:rsidR="00855ED7" w:rsidRP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>економічного розвитку та інвестиційної</w:t>
      </w:r>
    </w:p>
    <w:p w14:paraId="4E30090C" w14:textId="77777777" w:rsidR="00855ED7" w:rsidRP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>діяльності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:</w:t>
      </w:r>
    </w:p>
    <w:p w14:paraId="23D7F89D" w14:textId="77777777" w:rsidR="00855ED7" w:rsidRPr="00855ED7" w:rsidRDefault="00855ED7" w:rsidP="00855ED7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F695E0D" w14:textId="77777777" w:rsidR="00855ED7" w:rsidRP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Голова                                                                            </w:t>
      </w:r>
      <w:r w:rsidRPr="00855ED7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  </w:t>
      </w: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</w:t>
      </w:r>
      <w:r w:rsidRPr="00855ED7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</w:t>
      </w: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Андрій ВІТРЕНКО</w:t>
      </w:r>
    </w:p>
    <w:p w14:paraId="7849E958" w14:textId="77777777" w:rsid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4689BFE4" w14:textId="77777777" w:rsid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D936F76" w14:textId="77777777" w:rsidR="00855ED7" w:rsidRP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0C27CF59" w14:textId="77777777" w:rsid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Секретар                                                                     </w:t>
      </w:r>
      <w:r w:rsidRPr="00855ED7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   </w:t>
      </w: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</w:t>
      </w:r>
      <w:r w:rsidRPr="00855ED7">
        <w:rPr>
          <w:rFonts w:ascii="Times New Roman" w:eastAsia="Calibri" w:hAnsi="Times New Roman" w:cs="Times New Roman"/>
          <w:kern w:val="2"/>
          <w:sz w:val="28"/>
          <w:szCs w:val="28"/>
          <w:lang w:val="ru-RU"/>
        </w:rPr>
        <w:t xml:space="preserve"> </w:t>
      </w: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Владислав АНДРОНОВ</w:t>
      </w:r>
    </w:p>
    <w:p w14:paraId="6E4A35C3" w14:textId="77777777" w:rsid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FFD6F07" w14:textId="77777777" w:rsid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8993CAE" w14:textId="77777777" w:rsidR="00855ED7" w:rsidRP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Начальник управління </w:t>
      </w:r>
    </w:p>
    <w:p w14:paraId="19B9B096" w14:textId="77777777" w:rsidR="00855ED7" w:rsidRPr="00855ED7" w:rsidRDefault="00855ED7" w:rsidP="00855ED7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правового забезпечення діяльності </w:t>
      </w:r>
    </w:p>
    <w:p w14:paraId="03B82803" w14:textId="77777777" w:rsidR="00855ED7" w:rsidRPr="00855ED7" w:rsidRDefault="00855ED7" w:rsidP="007D2E6F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val="ru-RU"/>
        </w:rPr>
      </w:pPr>
      <w:r w:rsidRPr="00855ED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Київської міської ради                                              Валентина ПОЛОЖИШНИК</w:t>
      </w:r>
    </w:p>
    <w:p w14:paraId="4AE3B370" w14:textId="77777777" w:rsidR="00855ED7" w:rsidRPr="00855ED7" w:rsidRDefault="00855ED7" w:rsidP="00855ED7">
      <w:pPr>
        <w:ind w:firstLine="708"/>
        <w:jc w:val="both"/>
        <w:rPr>
          <w:sz w:val="28"/>
          <w:szCs w:val="28"/>
        </w:rPr>
      </w:pPr>
    </w:p>
    <w:sectPr w:rsidR="00855ED7" w:rsidRPr="00855ED7" w:rsidSect="00AA3C81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4E73" w14:textId="77777777" w:rsidR="007777F1" w:rsidRDefault="007777F1">
      <w:pPr>
        <w:spacing w:after="0" w:line="240" w:lineRule="auto"/>
      </w:pPr>
      <w:r>
        <w:separator/>
      </w:r>
    </w:p>
  </w:endnote>
  <w:endnote w:type="continuationSeparator" w:id="0">
    <w:p w14:paraId="74928EDD" w14:textId="77777777" w:rsidR="007777F1" w:rsidRDefault="007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charset w:val="CC"/>
    <w:family w:val="roman"/>
    <w:pitch w:val="variable"/>
    <w:sig w:usb0="A000026F" w:usb1="5000203B" w:usb2="00000000" w:usb3="00000000" w:csb0="00000197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1ABDC" w14:textId="77777777" w:rsidR="007777F1" w:rsidRDefault="007777F1">
      <w:pPr>
        <w:spacing w:after="0" w:line="240" w:lineRule="auto"/>
      </w:pPr>
      <w:r>
        <w:separator/>
      </w:r>
    </w:p>
  </w:footnote>
  <w:footnote w:type="continuationSeparator" w:id="0">
    <w:p w14:paraId="027AB5DC" w14:textId="77777777" w:rsidR="007777F1" w:rsidRDefault="0077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840AA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10041F"/>
    <w:rsid w:val="00103D3F"/>
    <w:rsid w:val="00135003"/>
    <w:rsid w:val="001C26AD"/>
    <w:rsid w:val="001D6E22"/>
    <w:rsid w:val="00250358"/>
    <w:rsid w:val="00254E99"/>
    <w:rsid w:val="00260790"/>
    <w:rsid w:val="00264212"/>
    <w:rsid w:val="002B51A1"/>
    <w:rsid w:val="00314D16"/>
    <w:rsid w:val="0036684B"/>
    <w:rsid w:val="003F0666"/>
    <w:rsid w:val="003F6248"/>
    <w:rsid w:val="004079A8"/>
    <w:rsid w:val="00451CCD"/>
    <w:rsid w:val="00471A1C"/>
    <w:rsid w:val="004757BA"/>
    <w:rsid w:val="00483731"/>
    <w:rsid w:val="00487E18"/>
    <w:rsid w:val="004B7372"/>
    <w:rsid w:val="004E1799"/>
    <w:rsid w:val="005250F2"/>
    <w:rsid w:val="006373BA"/>
    <w:rsid w:val="006E31F0"/>
    <w:rsid w:val="007041B0"/>
    <w:rsid w:val="007332DB"/>
    <w:rsid w:val="007777F1"/>
    <w:rsid w:val="007D2E6F"/>
    <w:rsid w:val="00802656"/>
    <w:rsid w:val="0080463E"/>
    <w:rsid w:val="00855ED7"/>
    <w:rsid w:val="0091477C"/>
    <w:rsid w:val="009632AB"/>
    <w:rsid w:val="00991692"/>
    <w:rsid w:val="00A310F4"/>
    <w:rsid w:val="00AA26A8"/>
    <w:rsid w:val="00AA3C81"/>
    <w:rsid w:val="00B11116"/>
    <w:rsid w:val="00B77894"/>
    <w:rsid w:val="00C216F9"/>
    <w:rsid w:val="00C24F9F"/>
    <w:rsid w:val="00C72AD3"/>
    <w:rsid w:val="00CE1920"/>
    <w:rsid w:val="00D05332"/>
    <w:rsid w:val="00D93395"/>
    <w:rsid w:val="00D95DEB"/>
    <w:rsid w:val="00DC48BF"/>
    <w:rsid w:val="00E5030C"/>
    <w:rsid w:val="00EB1206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AFDF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character" w:customStyle="1" w:styleId="hard-blue-color">
    <w:name w:val="hard-blue-color"/>
    <w:basedOn w:val="a0"/>
    <w:rsid w:val="00855ED7"/>
  </w:style>
  <w:style w:type="table" w:styleId="a7">
    <w:name w:val="Table Grid"/>
    <w:basedOn w:val="a1"/>
    <w:uiPriority w:val="39"/>
    <w:rsid w:val="00AA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3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38FA-4F81-43D8-AA2C-82500E8F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2329</Words>
  <Characters>1328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Vasilov Oleksandr</cp:lastModifiedBy>
  <cp:revision>2</cp:revision>
  <cp:lastPrinted>2024-12-02T15:14:00Z</cp:lastPrinted>
  <dcterms:created xsi:type="dcterms:W3CDTF">2024-12-03T06:25:00Z</dcterms:created>
  <dcterms:modified xsi:type="dcterms:W3CDTF">2024-12-03T06:25:00Z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2024-12-02T15:45:20Z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0160cf1b-1770-4fef-94f7-d842ad38510b</vt:lpwstr>
  </property>
  <property fmtid="{D5CDD505-2E9C-101B-9397-08002B2CF9AE}" pid="8" name="MSIP_Label_defa4170-0d19-0005-0004-bc88714345d2_ContentBits">
    <vt:lpwstr>0</vt:lpwstr>
  </property>
</Properties>
</file>