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D9C5" w14:textId="77777777" w:rsidR="000D6653" w:rsidRPr="00C52690" w:rsidRDefault="000D6653" w:rsidP="001418C6">
      <w:pPr>
        <w:pStyle w:val="1"/>
        <w:spacing w:before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</w:pPr>
      <w:r w:rsidRPr="00C526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Аналіз регуляторного впливу</w:t>
      </w:r>
    </w:p>
    <w:p w14:paraId="74843B5F" w14:textId="77777777" w:rsidR="000D6653" w:rsidRPr="00C52690" w:rsidRDefault="000D6653" w:rsidP="001418C6">
      <w:pPr>
        <w:spacing w:after="0" w:line="240" w:lineRule="auto"/>
        <w:ind w:right="4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proofErr w:type="spellStart"/>
      <w:r w:rsidRPr="00C526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проєкту</w:t>
      </w:r>
      <w:proofErr w:type="spellEnd"/>
      <w:r w:rsidRPr="00C526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рішення Київської міської ради</w:t>
      </w:r>
    </w:p>
    <w:p w14:paraId="458C73C3" w14:textId="77777777" w:rsidR="00C52690" w:rsidRPr="00C52690" w:rsidRDefault="00C52690" w:rsidP="0014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C526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«Про затвердження Методики розрахунку орендної плати за</w:t>
      </w:r>
    </w:p>
    <w:p w14:paraId="6FFFBDAB" w14:textId="78D2AEE5" w:rsidR="00C52690" w:rsidRPr="00C52690" w:rsidRDefault="00C52690" w:rsidP="0014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C526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комунальне майно територіальної громади міста Києва»</w:t>
      </w:r>
    </w:p>
    <w:p w14:paraId="411C3432" w14:textId="77777777" w:rsidR="00C52690" w:rsidRPr="00C52690" w:rsidRDefault="00C52690" w:rsidP="00C52690">
      <w:pPr>
        <w:spacing w:after="0" w:line="240" w:lineRule="auto"/>
        <w:ind w:left="612" w:right="3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720B2B5E" w14:textId="5FDAB93F" w:rsidR="00C52690" w:rsidRDefault="00C52690" w:rsidP="001418C6">
      <w:pPr>
        <w:pStyle w:val="a7"/>
        <w:widowControl w:val="0"/>
        <w:autoSpaceDE w:val="0"/>
        <w:autoSpaceDN w:val="0"/>
        <w:spacing w:after="0" w:line="240" w:lineRule="auto"/>
        <w:ind w:left="0" w:right="28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І. </w:t>
      </w:r>
      <w:r w:rsidRPr="00C526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Визначення проблеми</w:t>
      </w:r>
    </w:p>
    <w:p w14:paraId="65018664" w14:textId="77777777" w:rsidR="00C52690" w:rsidRPr="00C52690" w:rsidRDefault="00C52690" w:rsidP="00C52690">
      <w:pPr>
        <w:pStyle w:val="a7"/>
        <w:widowControl w:val="0"/>
        <w:tabs>
          <w:tab w:val="left" w:pos="3755"/>
        </w:tabs>
        <w:autoSpaceDE w:val="0"/>
        <w:autoSpaceDN w:val="0"/>
        <w:spacing w:after="0" w:line="240" w:lineRule="auto"/>
        <w:ind w:left="3754" w:right="28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14:paraId="54A292EE" w14:textId="77777777" w:rsidR="00C52690" w:rsidRDefault="00C52690" w:rsidP="00C52690">
      <w:pPr>
        <w:pStyle w:val="af1"/>
        <w:ind w:left="0" w:right="28" w:firstLine="720"/>
        <w:jc w:val="both"/>
      </w:pPr>
      <w:r>
        <w:t>Частиною другої статті 17 Закону України від 03 жовтня 2019 року</w:t>
      </w:r>
      <w:r>
        <w:br/>
        <w:t>№ 157-ІХ «Про оренду державного та комунального майна» (далі – Закон) визначено, що у разі передачі майна в оренду без проведення аукціону орендна плата визначається відповідно до Методики розрахунку орендної плати, яка затверджується представницьким органом місцевого самоврядування щодо комунального майна.</w:t>
      </w:r>
    </w:p>
    <w:p w14:paraId="7BEBA29A" w14:textId="77777777" w:rsidR="00C52690" w:rsidRPr="00C52690" w:rsidRDefault="00C52690" w:rsidP="00C52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C526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Слід відмітити, що у зв’язку з введенням в дію Закону Методика розрахунку орендної плати за майно територіальної громади міста Києва, яке передається в оренду, затверджена рішенням Київської міської ради від 21 квітня 2015 року №415/1280 «Про затвердження Положення про оренду майна територіальної громади міста  Києва», діє лише в частині, яка не суперечить вимогам Закону. </w:t>
      </w:r>
    </w:p>
    <w:p w14:paraId="19C9EE9A" w14:textId="77777777" w:rsidR="00C52690" w:rsidRDefault="00C52690" w:rsidP="00C52690">
      <w:pPr>
        <w:pStyle w:val="af1"/>
        <w:ind w:left="0" w:right="30" w:firstLine="720"/>
        <w:jc w:val="both"/>
      </w:pPr>
      <w:r>
        <w:t xml:space="preserve">Таким чином, передача комунального майна в оренду </w:t>
      </w:r>
      <w:proofErr w:type="spellStart"/>
      <w:r>
        <w:t>ускладнюється</w:t>
      </w:r>
      <w:proofErr w:type="spellEnd"/>
      <w:r>
        <w:t xml:space="preserve"> у зв’язку з відсутністю необхідних підзаконних актів які б деталізували положення Закону.</w:t>
      </w:r>
    </w:p>
    <w:p w14:paraId="72D338C6" w14:textId="77777777" w:rsidR="00C52690" w:rsidRDefault="00C52690" w:rsidP="00C52690">
      <w:pPr>
        <w:pStyle w:val="af1"/>
        <w:ind w:left="0" w:right="30" w:firstLine="720"/>
        <w:jc w:val="both"/>
      </w:pPr>
      <w:r>
        <w:t xml:space="preserve">З огляду на зазначене, а також на виконання пункту 8 Прикінцевих та перехідних положень Закону, постала потреба в розробленні відповідного нормативного </w:t>
      </w:r>
      <w:proofErr w:type="spellStart"/>
      <w:r>
        <w:t>акта</w:t>
      </w:r>
      <w:proofErr w:type="spellEnd"/>
      <w:r>
        <w:t>.</w:t>
      </w:r>
    </w:p>
    <w:p w14:paraId="6C102E15" w14:textId="77777777" w:rsidR="00C52690" w:rsidRPr="00C52690" w:rsidRDefault="00C52690" w:rsidP="00C52690">
      <w:pPr>
        <w:pStyle w:val="1"/>
        <w:spacing w:before="0" w:line="240" w:lineRule="auto"/>
        <w:ind w:left="1605" w:right="28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52690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Style w:val="TableNormal"/>
        <w:tblW w:w="9469" w:type="dxa"/>
        <w:tblInd w:w="17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2839"/>
        <w:gridCol w:w="2251"/>
      </w:tblGrid>
      <w:tr w:rsidR="00C52690" w14:paraId="03FEF8FC" w14:textId="77777777" w:rsidTr="003961BD">
        <w:trPr>
          <w:trHeight w:val="367"/>
        </w:trPr>
        <w:tc>
          <w:tcPr>
            <w:tcW w:w="4379" w:type="dxa"/>
          </w:tcPr>
          <w:p w14:paraId="43C4C44E" w14:textId="77777777" w:rsidR="00C52690" w:rsidRPr="007F490F" w:rsidRDefault="00C52690" w:rsidP="003961BD">
            <w:pPr>
              <w:pStyle w:val="TableParagraph"/>
              <w:ind w:left="1238" w:right="30"/>
              <w:rPr>
                <w:b/>
                <w:sz w:val="28"/>
                <w:szCs w:val="28"/>
              </w:rPr>
            </w:pPr>
            <w:r w:rsidRPr="007F490F">
              <w:rPr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2839" w:type="dxa"/>
          </w:tcPr>
          <w:p w14:paraId="6EABB4BB" w14:textId="77777777" w:rsidR="00C52690" w:rsidRPr="007F490F" w:rsidRDefault="00C52690" w:rsidP="00F42437">
            <w:pPr>
              <w:pStyle w:val="TableParagraph"/>
              <w:ind w:left="1177" w:right="30"/>
              <w:rPr>
                <w:b/>
                <w:sz w:val="28"/>
                <w:szCs w:val="28"/>
              </w:rPr>
            </w:pPr>
            <w:r w:rsidRPr="007F490F">
              <w:rPr>
                <w:b/>
                <w:sz w:val="28"/>
                <w:szCs w:val="28"/>
              </w:rPr>
              <w:t>Так</w:t>
            </w:r>
          </w:p>
        </w:tc>
        <w:tc>
          <w:tcPr>
            <w:tcW w:w="2251" w:type="dxa"/>
          </w:tcPr>
          <w:p w14:paraId="4C416650" w14:textId="77777777" w:rsidR="00C52690" w:rsidRPr="007F490F" w:rsidRDefault="00C52690" w:rsidP="00F42437">
            <w:pPr>
              <w:pStyle w:val="TableParagraph"/>
              <w:ind w:left="1055" w:right="30"/>
              <w:rPr>
                <w:b/>
                <w:sz w:val="28"/>
                <w:szCs w:val="28"/>
              </w:rPr>
            </w:pPr>
            <w:r w:rsidRPr="007F490F">
              <w:rPr>
                <w:b/>
                <w:sz w:val="28"/>
                <w:szCs w:val="28"/>
              </w:rPr>
              <w:t>Ні</w:t>
            </w:r>
          </w:p>
        </w:tc>
      </w:tr>
      <w:tr w:rsidR="00C52690" w14:paraId="1A47972E" w14:textId="77777777" w:rsidTr="00F42437">
        <w:trPr>
          <w:trHeight w:val="363"/>
        </w:trPr>
        <w:tc>
          <w:tcPr>
            <w:tcW w:w="4379" w:type="dxa"/>
          </w:tcPr>
          <w:p w14:paraId="67A2A0EE" w14:textId="77777777" w:rsidR="00C52690" w:rsidRPr="007F490F" w:rsidRDefault="00C52690" w:rsidP="003961BD">
            <w:pPr>
              <w:pStyle w:val="TableParagraph"/>
              <w:ind w:left="48" w:right="30"/>
              <w:rPr>
                <w:sz w:val="28"/>
                <w:szCs w:val="28"/>
              </w:rPr>
            </w:pPr>
            <w:r w:rsidRPr="007F490F">
              <w:rPr>
                <w:sz w:val="28"/>
                <w:szCs w:val="28"/>
              </w:rPr>
              <w:t>Громадяни</w:t>
            </w:r>
          </w:p>
        </w:tc>
        <w:tc>
          <w:tcPr>
            <w:tcW w:w="2839" w:type="dxa"/>
          </w:tcPr>
          <w:p w14:paraId="6504ABF1" w14:textId="77777777" w:rsidR="00C52690" w:rsidRPr="007F490F" w:rsidRDefault="00C52690" w:rsidP="003961BD">
            <w:pPr>
              <w:pStyle w:val="TableParagraph"/>
              <w:ind w:right="30"/>
              <w:rPr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7F452273" w14:textId="735A1D8A" w:rsidR="00C52690" w:rsidRPr="007F490F" w:rsidRDefault="00C52690" w:rsidP="00F42437">
            <w:pPr>
              <w:pStyle w:val="TableParagraph"/>
              <w:numPr>
                <w:ilvl w:val="0"/>
                <w:numId w:val="15"/>
              </w:numPr>
              <w:ind w:right="30" w:firstLine="329"/>
              <w:rPr>
                <w:sz w:val="28"/>
                <w:szCs w:val="28"/>
              </w:rPr>
            </w:pPr>
          </w:p>
        </w:tc>
      </w:tr>
      <w:tr w:rsidR="00C52690" w14:paraId="145783BA" w14:textId="77777777" w:rsidTr="003961BD">
        <w:trPr>
          <w:trHeight w:val="365"/>
        </w:trPr>
        <w:tc>
          <w:tcPr>
            <w:tcW w:w="4379" w:type="dxa"/>
          </w:tcPr>
          <w:p w14:paraId="477F8DDC" w14:textId="77777777" w:rsidR="00C52690" w:rsidRPr="007F490F" w:rsidRDefault="00C52690" w:rsidP="003961BD">
            <w:pPr>
              <w:pStyle w:val="TableParagraph"/>
              <w:ind w:left="48" w:right="30"/>
              <w:rPr>
                <w:sz w:val="28"/>
                <w:szCs w:val="28"/>
              </w:rPr>
            </w:pPr>
            <w:r w:rsidRPr="007F490F">
              <w:rPr>
                <w:sz w:val="28"/>
                <w:szCs w:val="28"/>
              </w:rPr>
              <w:t>Держава</w:t>
            </w:r>
          </w:p>
        </w:tc>
        <w:tc>
          <w:tcPr>
            <w:tcW w:w="2839" w:type="dxa"/>
          </w:tcPr>
          <w:p w14:paraId="03721C13" w14:textId="19E9FB64" w:rsidR="00C52690" w:rsidRPr="007F490F" w:rsidRDefault="00C52690" w:rsidP="00F42437">
            <w:pPr>
              <w:pStyle w:val="TableParagraph"/>
              <w:numPr>
                <w:ilvl w:val="0"/>
                <w:numId w:val="13"/>
              </w:numPr>
              <w:ind w:right="30" w:hanging="648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BABAEA3" w14:textId="77777777" w:rsidR="00C52690" w:rsidRPr="007F490F" w:rsidRDefault="00C52690" w:rsidP="003961BD">
            <w:pPr>
              <w:pStyle w:val="TableParagraph"/>
              <w:ind w:right="30"/>
              <w:rPr>
                <w:sz w:val="28"/>
                <w:szCs w:val="28"/>
              </w:rPr>
            </w:pPr>
          </w:p>
        </w:tc>
      </w:tr>
      <w:tr w:rsidR="00C52690" w14:paraId="35C2A8B6" w14:textId="77777777" w:rsidTr="003961BD">
        <w:trPr>
          <w:trHeight w:val="354"/>
        </w:trPr>
        <w:tc>
          <w:tcPr>
            <w:tcW w:w="4379" w:type="dxa"/>
          </w:tcPr>
          <w:p w14:paraId="7C65283F" w14:textId="77777777" w:rsidR="00C52690" w:rsidRPr="007F490F" w:rsidRDefault="00C52690" w:rsidP="003961BD">
            <w:pPr>
              <w:pStyle w:val="TableParagraph"/>
              <w:ind w:left="48" w:right="30"/>
              <w:rPr>
                <w:sz w:val="28"/>
                <w:szCs w:val="28"/>
              </w:rPr>
            </w:pPr>
            <w:r w:rsidRPr="007F490F">
              <w:rPr>
                <w:sz w:val="28"/>
                <w:szCs w:val="28"/>
              </w:rPr>
              <w:t>Суб'єкти господарювання,</w:t>
            </w:r>
          </w:p>
        </w:tc>
        <w:tc>
          <w:tcPr>
            <w:tcW w:w="2839" w:type="dxa"/>
          </w:tcPr>
          <w:p w14:paraId="4FC5E322" w14:textId="63BF084E" w:rsidR="00C52690" w:rsidRPr="007F490F" w:rsidRDefault="00C52690" w:rsidP="00F42437">
            <w:pPr>
              <w:pStyle w:val="TableParagraph"/>
              <w:numPr>
                <w:ilvl w:val="0"/>
                <w:numId w:val="13"/>
              </w:numPr>
              <w:ind w:right="30" w:hanging="648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75A77F11" w14:textId="77777777" w:rsidR="00C52690" w:rsidRPr="007F490F" w:rsidRDefault="00C52690" w:rsidP="003961BD">
            <w:pPr>
              <w:pStyle w:val="TableParagraph"/>
              <w:ind w:right="30"/>
              <w:rPr>
                <w:sz w:val="28"/>
                <w:szCs w:val="28"/>
              </w:rPr>
            </w:pPr>
          </w:p>
        </w:tc>
      </w:tr>
      <w:tr w:rsidR="00C52690" w14:paraId="46234474" w14:textId="77777777" w:rsidTr="003961BD">
        <w:trPr>
          <w:trHeight w:val="631"/>
        </w:trPr>
        <w:tc>
          <w:tcPr>
            <w:tcW w:w="4379" w:type="dxa"/>
          </w:tcPr>
          <w:p w14:paraId="07CF1993" w14:textId="77777777" w:rsidR="00C52690" w:rsidRPr="007F490F" w:rsidRDefault="00C52690" w:rsidP="003961BD">
            <w:pPr>
              <w:pStyle w:val="TableParagraph"/>
              <w:ind w:left="48" w:right="30"/>
              <w:rPr>
                <w:sz w:val="28"/>
                <w:szCs w:val="28"/>
              </w:rPr>
            </w:pPr>
            <w:r w:rsidRPr="007F490F">
              <w:rPr>
                <w:sz w:val="28"/>
                <w:szCs w:val="28"/>
              </w:rPr>
              <w:t>у тому числі суб'єкти малого підприємництва</w:t>
            </w:r>
          </w:p>
        </w:tc>
        <w:tc>
          <w:tcPr>
            <w:tcW w:w="2839" w:type="dxa"/>
          </w:tcPr>
          <w:p w14:paraId="2F14CC82" w14:textId="77A7F050" w:rsidR="00C52690" w:rsidRPr="007F490F" w:rsidRDefault="00C52690" w:rsidP="00F42437">
            <w:pPr>
              <w:pStyle w:val="TableParagraph"/>
              <w:numPr>
                <w:ilvl w:val="0"/>
                <w:numId w:val="14"/>
              </w:numPr>
              <w:ind w:right="30" w:hanging="648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BF6623B" w14:textId="77777777" w:rsidR="00C52690" w:rsidRPr="007F490F" w:rsidRDefault="00C52690" w:rsidP="003961BD">
            <w:pPr>
              <w:pStyle w:val="TableParagraph"/>
              <w:ind w:right="30"/>
              <w:rPr>
                <w:sz w:val="28"/>
                <w:szCs w:val="28"/>
              </w:rPr>
            </w:pPr>
          </w:p>
        </w:tc>
      </w:tr>
    </w:tbl>
    <w:p w14:paraId="5205F9DF" w14:textId="07F04D00" w:rsidR="00C52690" w:rsidRDefault="00C52690" w:rsidP="00C52690">
      <w:pPr>
        <w:pStyle w:val="af1"/>
        <w:ind w:left="0" w:right="30"/>
        <w:rPr>
          <w:b/>
          <w:sz w:val="22"/>
        </w:rPr>
      </w:pPr>
    </w:p>
    <w:p w14:paraId="5E6CC5C9" w14:textId="55BB26E9" w:rsidR="00CB5AEF" w:rsidRPr="00617001" w:rsidRDefault="00FB0FD5" w:rsidP="00CB5AEF">
      <w:pPr>
        <w:pStyle w:val="af1"/>
        <w:spacing w:before="2" w:line="322" w:lineRule="exact"/>
        <w:ind w:firstLine="708"/>
        <w:jc w:val="both"/>
      </w:pPr>
      <w:r w:rsidRPr="00617001">
        <w:t>Урегулювання зазначених проблемних питань не може бути здійснено за допомогою ринкових механізмів або за допомогою чинних регуляторних актів чи шляхом внесення змін до них</w:t>
      </w:r>
      <w:r w:rsidR="00624B06" w:rsidRPr="00617001">
        <w:t>, оскільки</w:t>
      </w:r>
      <w:r w:rsidR="00CB5AEF" w:rsidRPr="00617001">
        <w:t>,</w:t>
      </w:r>
      <w:r w:rsidR="00624B06" w:rsidRPr="00617001">
        <w:t xml:space="preserve"> відповідно до норм Закону України </w:t>
      </w:r>
      <w:r w:rsidR="00CB5AEF" w:rsidRPr="00617001">
        <w:t xml:space="preserve">«Про оренду державного та комунального майна», передача комунального майна в оренду відбувається на аукціоні, коли комунальне майно передається в оренду особі, </w:t>
      </w:r>
      <w:r w:rsidR="00CB5AEF" w:rsidRPr="00617001">
        <w:rPr>
          <w:color w:val="333333"/>
          <w:shd w:val="clear" w:color="auto" w:fill="FFFFFF"/>
        </w:rPr>
        <w:t>яка запропонувала найбільшу орендну плату, що проводиться в електронній формі</w:t>
      </w:r>
      <w:r w:rsidR="00CB5AEF" w:rsidRPr="00617001">
        <w:t>.</w:t>
      </w:r>
    </w:p>
    <w:p w14:paraId="6785ED56" w14:textId="77777777" w:rsidR="00CB5AEF" w:rsidRPr="00617001" w:rsidRDefault="00CB5AEF" w:rsidP="00CB5AEF">
      <w:pPr>
        <w:pStyle w:val="af1"/>
        <w:spacing w:before="2" w:line="322" w:lineRule="exact"/>
        <w:ind w:firstLine="708"/>
        <w:jc w:val="both"/>
      </w:pPr>
      <w:r w:rsidRPr="00617001">
        <w:t>Водночас статтею 15 Закону визначено виключний перелік категорій орендарів, які мають право на укладення договору оренди без проведення аукціону. Як наслідок, розмір орендної плати формується не на основі ринкового попиту, а відповідно до</w:t>
      </w:r>
      <w:r w:rsidRPr="00617001">
        <w:rPr>
          <w:spacing w:val="-6"/>
        </w:rPr>
        <w:t xml:space="preserve"> </w:t>
      </w:r>
      <w:r w:rsidRPr="00617001">
        <w:t xml:space="preserve">методики </w:t>
      </w:r>
      <w:r w:rsidRPr="00617001">
        <w:rPr>
          <w:color w:val="333333"/>
          <w:shd w:val="clear" w:color="auto" w:fill="FFFFFF"/>
        </w:rPr>
        <w:t xml:space="preserve">розрахунку орендної плати, яка </w:t>
      </w:r>
      <w:r w:rsidRPr="00617001">
        <w:rPr>
          <w:color w:val="333333"/>
          <w:shd w:val="clear" w:color="auto" w:fill="FFFFFF"/>
        </w:rPr>
        <w:lastRenderedPageBreak/>
        <w:t>затверджується Кабінетом Міністрів України щодо державного майна та представницькими органами місцевого самоврядування – щодо комунального майна.</w:t>
      </w:r>
    </w:p>
    <w:p w14:paraId="7C052ADF" w14:textId="77777777" w:rsidR="001F7067" w:rsidRDefault="001F7067" w:rsidP="001F70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A4AE18" w14:textId="60998160" w:rsidR="001F7067" w:rsidRPr="000D6653" w:rsidRDefault="001F7067" w:rsidP="001F70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66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Цілі державного регулювання</w:t>
      </w:r>
    </w:p>
    <w:p w14:paraId="6EB7B90A" w14:textId="77777777" w:rsidR="001F7067" w:rsidRPr="001418C6" w:rsidRDefault="001F7067" w:rsidP="001F7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14:paraId="6E3DE183" w14:textId="4EC2F226" w:rsidR="00C52690" w:rsidRDefault="00C52690" w:rsidP="000F4EE9">
      <w:pPr>
        <w:pStyle w:val="af1"/>
        <w:ind w:left="0" w:right="30" w:firstLine="709"/>
        <w:jc w:val="both"/>
      </w:pPr>
      <w:r>
        <w:t>Цілями державного регулювання є забезпечення виконання приписів Закону України від 03 жовтня 2019 року № 157-ІХ «Про оренду державного та комунального майна», створення єдиних правил для учасників орендних відносин (орендаря</w:t>
      </w:r>
      <w:r w:rsidR="001418C6">
        <w:t xml:space="preserve">, </w:t>
      </w:r>
      <w:r>
        <w:t>орендодавця</w:t>
      </w:r>
      <w:r w:rsidR="001418C6">
        <w:t>, балансоутримувача</w:t>
      </w:r>
      <w:r>
        <w:t>) та чітких механізмів розрахунку орендної плати (річної, місячної, добової, погодинної), а також механізму нарахування індексу інфляції</w:t>
      </w:r>
      <w:r w:rsidR="001F7067">
        <w:t>.</w:t>
      </w:r>
      <w:r>
        <w:t xml:space="preserve"> </w:t>
      </w:r>
    </w:p>
    <w:p w14:paraId="3DE644BC" w14:textId="77777777" w:rsidR="001F7067" w:rsidRDefault="001F7067" w:rsidP="001F70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5A8553A" w14:textId="4E4165AC" w:rsidR="001F7067" w:rsidRDefault="001F7067" w:rsidP="001F70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Визначення та оцінка альтернативних способів досягнення зазначених цілей</w:t>
      </w:r>
    </w:p>
    <w:p w14:paraId="15DA54AF" w14:textId="77777777" w:rsidR="001F7067" w:rsidRDefault="001F7067" w:rsidP="001F70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EF8368" w14:textId="66AE601D" w:rsidR="001F7067" w:rsidRDefault="001F7067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Визначення альтернативних способів:</w:t>
      </w:r>
    </w:p>
    <w:p w14:paraId="4AAA2CF9" w14:textId="77777777" w:rsidR="00E2440A" w:rsidRDefault="00E2440A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1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028"/>
      </w:tblGrid>
      <w:tr w:rsidR="001F7067" w14:paraId="1BEF3A68" w14:textId="77777777" w:rsidTr="001F7067">
        <w:trPr>
          <w:tblCellSpacing w:w="0" w:type="dxa"/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111B6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1405E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1F7067" w:rsidRPr="00D2506F" w14:paraId="734D5FB9" w14:textId="77777777" w:rsidTr="001F7067">
        <w:trPr>
          <w:tblCellSpacing w:w="0" w:type="dxa"/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05C9B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D8251" w14:textId="5B9AFC0C" w:rsidR="001F7067" w:rsidRDefault="001F7067" w:rsidP="003961BD">
            <w:pPr>
              <w:pStyle w:val="TableParagraph"/>
              <w:ind w:right="30"/>
              <w:jc w:val="both"/>
              <w:rPr>
                <w:sz w:val="28"/>
                <w:szCs w:val="28"/>
              </w:rPr>
            </w:pPr>
            <w:r w:rsidRPr="008818DC">
              <w:rPr>
                <w:sz w:val="28"/>
                <w:szCs w:val="28"/>
              </w:rPr>
              <w:t>Залишити чинний регуляторний акт (</w:t>
            </w:r>
            <w:r w:rsidRPr="008818DC">
              <w:rPr>
                <w:rFonts w:eastAsia="Calibri"/>
                <w:sz w:val="28"/>
                <w:szCs w:val="28"/>
                <w:lang w:eastAsia="zh-CN"/>
              </w:rPr>
              <w:t>Методика розрахунку орендної плати за майно територіальної громади міста Києва, яке передається в оренду</w:t>
            </w:r>
            <w:r w:rsidRPr="008818DC">
              <w:rPr>
                <w:sz w:val="28"/>
                <w:szCs w:val="28"/>
              </w:rPr>
              <w:t xml:space="preserve">, затверджена </w:t>
            </w:r>
            <w:r w:rsidRPr="008818DC">
              <w:rPr>
                <w:rFonts w:eastAsia="Calibri"/>
                <w:sz w:val="28"/>
                <w:szCs w:val="28"/>
                <w:lang w:eastAsia="zh-CN"/>
              </w:rPr>
              <w:t>рішенням Київської міської ради від 21 квітня 2015 року №415/1280 «Про затвердження Положення про оренду майна територіальної громади міста  Києва»</w:t>
            </w:r>
            <w:r w:rsidRPr="008818DC">
              <w:rPr>
                <w:sz w:val="28"/>
                <w:szCs w:val="28"/>
              </w:rPr>
              <w:t>).</w:t>
            </w:r>
          </w:p>
        </w:tc>
      </w:tr>
      <w:tr w:rsidR="001F7067" w14:paraId="0A2AE743" w14:textId="77777777" w:rsidTr="001F7067">
        <w:trPr>
          <w:tblCellSpacing w:w="0" w:type="dxa"/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E379C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BE58F" w14:textId="77777777" w:rsidR="001F7067" w:rsidRDefault="008818DC" w:rsidP="003961BD">
            <w:pPr>
              <w:pStyle w:val="TableParagraph"/>
              <w:ind w:right="30"/>
              <w:jc w:val="both"/>
              <w:rPr>
                <w:sz w:val="28"/>
                <w:szCs w:val="28"/>
              </w:rPr>
            </w:pPr>
            <w:r w:rsidRPr="008818DC">
              <w:rPr>
                <w:sz w:val="28"/>
                <w:szCs w:val="28"/>
              </w:rPr>
              <w:t xml:space="preserve">Прийняття нового регуляторного </w:t>
            </w:r>
            <w:proofErr w:type="spellStart"/>
            <w:r w:rsidRPr="008818DC">
              <w:rPr>
                <w:sz w:val="28"/>
                <w:szCs w:val="28"/>
              </w:rPr>
              <w:t>акта</w:t>
            </w:r>
            <w:proofErr w:type="spellEnd"/>
            <w:r w:rsidRPr="008818DC">
              <w:rPr>
                <w:sz w:val="28"/>
                <w:szCs w:val="28"/>
              </w:rPr>
              <w:t>.</w:t>
            </w:r>
          </w:p>
          <w:p w14:paraId="0B88622C" w14:textId="10BB19DD" w:rsidR="00E2440A" w:rsidRDefault="00E2440A" w:rsidP="003961BD">
            <w:pPr>
              <w:pStyle w:val="TableParagraph"/>
              <w:ind w:right="30"/>
              <w:jc w:val="both"/>
              <w:rPr>
                <w:sz w:val="28"/>
                <w:szCs w:val="28"/>
              </w:rPr>
            </w:pPr>
          </w:p>
        </w:tc>
      </w:tr>
    </w:tbl>
    <w:p w14:paraId="2AF6AE70" w14:textId="33029A95" w:rsidR="001F7067" w:rsidRDefault="001F7067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14:paraId="548EC1E6" w14:textId="77777777" w:rsidR="001F7067" w:rsidRDefault="001F7067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2.Оцінка вибраних альтернативних способів досягнення цілей</w:t>
      </w:r>
    </w:p>
    <w:p w14:paraId="03B16BC6" w14:textId="77777777" w:rsidR="001F7067" w:rsidRDefault="001F7067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8804EE4" w14:textId="3F3CDE54" w:rsidR="001F7067" w:rsidRDefault="001F7067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впливу на сферу інтересів держави:</w:t>
      </w:r>
    </w:p>
    <w:p w14:paraId="1D2A00A1" w14:textId="77777777" w:rsidR="001418C6" w:rsidRDefault="001418C6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053"/>
        <w:gridCol w:w="3970"/>
      </w:tblGrid>
      <w:tr w:rsidR="001F7067" w14:paraId="5D5F0EA7" w14:textId="77777777" w:rsidTr="00E2440A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F50FF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3547A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CA051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1F7067" w:rsidRPr="00D2506F" w14:paraId="3569C5C5" w14:textId="77777777" w:rsidTr="00E2440A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20498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71297" w14:textId="77777777" w:rsidR="001F7067" w:rsidRDefault="001F706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1AB0F" w14:textId="5286759E" w:rsidR="008818DC" w:rsidRPr="00D51159" w:rsidRDefault="008818DC" w:rsidP="00E2440A">
            <w:pPr>
              <w:pStyle w:val="TableParagraph"/>
              <w:ind w:left="125" w:right="129"/>
              <w:jc w:val="both"/>
              <w:rPr>
                <w:sz w:val="28"/>
                <w:szCs w:val="28"/>
              </w:rPr>
            </w:pPr>
            <w:r w:rsidRPr="00D51159">
              <w:rPr>
                <w:rFonts w:eastAsia="Calibri"/>
                <w:sz w:val="28"/>
                <w:szCs w:val="28"/>
                <w:lang w:eastAsia="zh-CN"/>
              </w:rPr>
              <w:t>Методика розрахунку орендної плати за майно територіальної громади міста Києва, яке передається в оренду</w:t>
            </w:r>
            <w:r w:rsidRPr="00D51159">
              <w:rPr>
                <w:sz w:val="28"/>
                <w:szCs w:val="28"/>
              </w:rPr>
              <w:t xml:space="preserve">, затверджена </w:t>
            </w:r>
            <w:r w:rsidRPr="00D51159">
              <w:rPr>
                <w:rFonts w:eastAsia="Calibri"/>
                <w:sz w:val="28"/>
                <w:szCs w:val="28"/>
                <w:lang w:eastAsia="zh-CN"/>
              </w:rPr>
              <w:t xml:space="preserve">рішенням Київської міської ради від 21 квітня 2015 року №415/1280 «Про затвердження Положення про оренду майна територіальної громади міста  </w:t>
            </w:r>
            <w:r w:rsidRPr="00D51159">
              <w:rPr>
                <w:rFonts w:eastAsia="Calibri"/>
                <w:sz w:val="28"/>
                <w:szCs w:val="28"/>
                <w:lang w:eastAsia="zh-CN"/>
              </w:rPr>
              <w:lastRenderedPageBreak/>
              <w:t>Києва»</w:t>
            </w:r>
            <w:r w:rsidRPr="00D51159">
              <w:rPr>
                <w:sz w:val="28"/>
                <w:szCs w:val="28"/>
              </w:rPr>
              <w:t>, не</w:t>
            </w:r>
            <w:r w:rsidRPr="00D51159">
              <w:rPr>
                <w:spacing w:val="55"/>
                <w:sz w:val="28"/>
                <w:szCs w:val="28"/>
              </w:rPr>
              <w:t xml:space="preserve"> </w:t>
            </w:r>
            <w:r w:rsidRPr="00D51159">
              <w:rPr>
                <w:sz w:val="28"/>
                <w:szCs w:val="28"/>
              </w:rPr>
              <w:t>відповідатиме  положенням Закону України від 03 жовтня 2019 року № 157-ІХ «Про оренду державного і комунального майна».</w:t>
            </w:r>
          </w:p>
          <w:p w14:paraId="2A3B0634" w14:textId="620E6CE9" w:rsidR="001F7067" w:rsidRDefault="001F706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067" w14:paraId="40A1C901" w14:textId="77777777" w:rsidTr="00E2440A">
        <w:trPr>
          <w:trHeight w:val="480"/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4D7FB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53E7C5F" w14:textId="34ACBE54" w:rsidR="008818DC" w:rsidRPr="008818DC" w:rsidRDefault="008818DC" w:rsidP="00E2440A">
            <w:pPr>
              <w:pStyle w:val="TableParagraph"/>
              <w:ind w:left="51" w:right="123"/>
              <w:jc w:val="both"/>
              <w:rPr>
                <w:sz w:val="28"/>
                <w:szCs w:val="28"/>
              </w:rPr>
            </w:pPr>
            <w:r w:rsidRPr="008818DC">
              <w:rPr>
                <w:sz w:val="28"/>
                <w:szCs w:val="28"/>
              </w:rPr>
              <w:t>Забезпечить виконання положень Закону України від 03 жовтня 2019 року № 157-ІХ «Про оренду державного і комунального майна», а також орендарів, які мають право на укладення договору оренди без проведення аукціону – механізмом розрахунку орендної плати в залежності від статусу орендаря.</w:t>
            </w:r>
          </w:p>
          <w:p w14:paraId="3081B1CA" w14:textId="74A1E68C" w:rsidR="001F7067" w:rsidRDefault="001F7067" w:rsidP="00D51159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8E500C" w14:textId="77777777" w:rsidR="001F7067" w:rsidRDefault="001F7067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14:paraId="19A913E4" w14:textId="77777777" w:rsidR="001F7067" w:rsidRDefault="001F7067" w:rsidP="001F7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14:paraId="066CD438" w14:textId="77777777" w:rsidR="001F7067" w:rsidRDefault="001F7067" w:rsidP="001F7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Вплив на сферу інтересів громадян відсутній. Оцінка не проводилась.</w:t>
      </w:r>
    </w:p>
    <w:p w14:paraId="18161946" w14:textId="4881FF72" w:rsidR="001F7067" w:rsidRDefault="001F7067" w:rsidP="001F7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14:paraId="22D45D5C" w14:textId="6F66D83B" w:rsidR="001F7067" w:rsidRDefault="001F7067" w:rsidP="001F7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18C6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господарювання:</w:t>
      </w:r>
    </w:p>
    <w:p w14:paraId="57825508" w14:textId="77777777" w:rsidR="001418C6" w:rsidRDefault="001418C6" w:rsidP="001F7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0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972"/>
        <w:gridCol w:w="976"/>
        <w:gridCol w:w="722"/>
        <w:gridCol w:w="846"/>
        <w:gridCol w:w="810"/>
      </w:tblGrid>
      <w:tr w:rsidR="001F7067" w14:paraId="1916EE85" w14:textId="77777777" w:rsidTr="001F7067">
        <w:trPr>
          <w:tblCellSpacing w:w="0" w:type="dxa"/>
          <w:jc w:val="center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E5E79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B2FCE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5E898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90B9B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EDA80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14C3F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1F7067" w14:paraId="0DA92A8F" w14:textId="77777777" w:rsidTr="001F7067">
        <w:trPr>
          <w:tblCellSpacing w:w="0" w:type="dxa"/>
          <w:jc w:val="center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931CB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80B8C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FA251" w14:textId="76FC9AA0" w:rsidR="001F7067" w:rsidRDefault="0061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10C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300ED" w14:textId="5A7C46D6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10C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7558B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A058" w14:textId="2C5ED38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10C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10C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F7067" w14:paraId="306CDE06" w14:textId="77777777" w:rsidTr="001F7067">
        <w:trPr>
          <w:tblCellSpacing w:w="0" w:type="dxa"/>
          <w:jc w:val="center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27A94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5564E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CE6AD" w14:textId="196A5755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  <w:r w:rsidR="00610C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A2389" w14:textId="4AF04850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98,8</w:t>
            </w:r>
            <w:r w:rsidR="00610C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20A73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7A2C9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5D5E12DA" w14:textId="77777777" w:rsidR="001418C6" w:rsidRDefault="001418C6" w:rsidP="001F7067">
      <w:pPr>
        <w:spacing w:after="0" w:line="240" w:lineRule="auto"/>
        <w:ind w:right="30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8E6053" w14:textId="3E04E8A7" w:rsidR="001F7067" w:rsidRDefault="001F7067" w:rsidP="00CF6986">
      <w:pPr>
        <w:spacing w:after="0" w:line="240" w:lineRule="auto"/>
        <w:ind w:right="30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Орієнтовна кількість суб’єктів господарювання (орендарі комунального майна територіальної громади м. Києва), що мають виконати вимоги регулювання, становитиме 5 </w:t>
      </w:r>
      <w:r w:rsidR="00610CE4">
        <w:rPr>
          <w:rFonts w:ascii="Times New Roman" w:eastAsia="Times New Roman" w:hAnsi="Times New Roman" w:cs="Times New Roman"/>
          <w:sz w:val="28"/>
          <w:szCs w:val="28"/>
          <w:lang w:val="uk-UA"/>
        </w:rPr>
        <w:t>353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*.</w:t>
      </w:r>
    </w:p>
    <w:p w14:paraId="00122952" w14:textId="2019EAF0" w:rsidR="001F7067" w:rsidRDefault="001F7067" w:rsidP="00CF6986">
      <w:pPr>
        <w:spacing w:after="0" w:line="240" w:lineRule="auto"/>
        <w:ind w:right="-1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*Статистична інформація Департаменту комунальної власності м. Києва станом на </w:t>
      </w:r>
      <w:r w:rsidR="00610CE4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0CE4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10CE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(без урахування 1</w:t>
      </w:r>
      <w:r w:rsidR="00610CE4">
        <w:rPr>
          <w:rFonts w:ascii="Times New Roman" w:eastAsia="Times New Roman" w:hAnsi="Times New Roman" w:cs="Times New Roman"/>
          <w:sz w:val="28"/>
          <w:szCs w:val="28"/>
          <w:lang w:val="uk-UA"/>
        </w:rPr>
        <w:t>322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договорів оренди, укладених з орендарями – бюджетними установами, організаціями).</w:t>
      </w:r>
    </w:p>
    <w:p w14:paraId="3F5B33FB" w14:textId="77777777" w:rsidR="00C431FC" w:rsidRDefault="001F7067" w:rsidP="00CF6986">
      <w:pPr>
        <w:shd w:val="clear" w:color="auto" w:fill="FFFFFF"/>
        <w:spacing w:after="0" w:line="240" w:lineRule="auto"/>
        <w:ind w:firstLine="71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Таким чином, питома вага суб’єктів малого підприємництва у загальній кількості суб’єктів господарювання, на яких поширюється регулювання, становить 98,8</w:t>
      </w:r>
      <w:r w:rsidR="00C431F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відсотків, тому розрахунок витрат на запровадження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державного регулювання для суб’єктів малого підприємництва у відповідності до Методики проведення аналізу впливу регуляторного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акта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проводиться за допомогою тестування малого підприємництва (М-Тест) </w:t>
      </w:r>
    </w:p>
    <w:p w14:paraId="53C7E81C" w14:textId="527A7805" w:rsidR="001F7067" w:rsidRDefault="001F7067" w:rsidP="00C431FC">
      <w:pPr>
        <w:shd w:val="clear" w:color="auto" w:fill="FFFFFF"/>
        <w:spacing w:after="0" w:line="240" w:lineRule="auto"/>
        <w:ind w:left="77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Додаток 1.</w:t>
      </w:r>
    </w:p>
    <w:p w14:paraId="3720524A" w14:textId="77777777" w:rsidR="001F7067" w:rsidRDefault="001F7067" w:rsidP="001F7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31"/>
        <w:gridCol w:w="3036"/>
      </w:tblGrid>
      <w:tr w:rsidR="001F7067" w14:paraId="2D33C591" w14:textId="77777777" w:rsidTr="001F7067">
        <w:trPr>
          <w:tblCellSpacing w:w="0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1B95F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15F35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E4B19" w14:textId="77777777" w:rsidR="001F7067" w:rsidRDefault="001F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1F7067" w14:paraId="1F196CF8" w14:textId="77777777" w:rsidTr="001F7067">
        <w:trPr>
          <w:tblCellSpacing w:w="0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F0A18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2F9F5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2EFD6" w14:textId="77777777" w:rsidR="00E2440A" w:rsidRPr="00132C3B" w:rsidRDefault="00E2440A" w:rsidP="00E24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C3B">
              <w:rPr>
                <w:rStyle w:val="2949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Загальна сума витрат суб’єктів господарювання</w:t>
            </w:r>
            <w:r w:rsidRPr="00132C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виконання регуляторного </w:t>
            </w:r>
            <w:proofErr w:type="spellStart"/>
            <w:r w:rsidRPr="00132C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Pr="00132C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становитиме – </w:t>
            </w:r>
          </w:p>
          <w:p w14:paraId="185C1189" w14:textId="4A179D9D" w:rsidR="001F7067" w:rsidRPr="003961BD" w:rsidRDefault="00E2440A" w:rsidP="00E24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209 409,36 грн.</w:t>
            </w:r>
          </w:p>
        </w:tc>
      </w:tr>
      <w:tr w:rsidR="001F7067" w14:paraId="7B6C3295" w14:textId="77777777" w:rsidTr="001F7067">
        <w:trPr>
          <w:tblCellSpacing w:w="0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6226A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0408B" w14:textId="77777777" w:rsidR="001F7067" w:rsidRDefault="001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Чіткі вимоги до оформлення договірних відносин у сфері оренди майна для кожного окремого виду </w:t>
            </w:r>
            <w:r w:rsidRPr="00132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 майна</w:t>
            </w:r>
            <w:r w:rsidR="00E2440A" w:rsidRPr="00132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відповідності до вимог нового Закону України «Про оренду державного та комунального майна»</w:t>
            </w:r>
            <w:r w:rsidR="00E244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812F874" w14:textId="32DAA31C" w:rsidR="00E2440A" w:rsidRDefault="00E2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2399A" w14:textId="77777777" w:rsidR="001F7067" w:rsidRDefault="001F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2949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Загальна сума витрат суб’єктів господарювання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виконання регуляторного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становитиме – </w:t>
            </w:r>
          </w:p>
          <w:p w14:paraId="6DF8C360" w14:textId="15B911E3" w:rsidR="001F7067" w:rsidRDefault="000F40F8" w:rsidP="000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209 409,36</w:t>
            </w:r>
            <w:r w:rsidRPr="004A6A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00DD6FF3" w14:textId="77777777" w:rsidR="001F7067" w:rsidRDefault="001F7067" w:rsidP="001F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val="uk-UA"/>
        </w:rPr>
      </w:pPr>
    </w:p>
    <w:p w14:paraId="5290F4FC" w14:textId="77777777" w:rsidR="006F51C4" w:rsidRDefault="006F51C4" w:rsidP="00C52690">
      <w:pPr>
        <w:pStyle w:val="af1"/>
        <w:ind w:left="938" w:right="30"/>
      </w:pPr>
    </w:p>
    <w:p w14:paraId="3638E0C1" w14:textId="77777777" w:rsidR="006F51C4" w:rsidRDefault="006F51C4" w:rsidP="006F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</w:t>
      </w:r>
    </w:p>
    <w:p w14:paraId="3F131D30" w14:textId="77777777" w:rsidR="006F51C4" w:rsidRDefault="006F51C4" w:rsidP="006F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</w:p>
    <w:p w14:paraId="5B538271" w14:textId="77777777" w:rsidR="006F51C4" w:rsidRDefault="006F51C4" w:rsidP="006F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5648"/>
        <w:gridCol w:w="1537"/>
        <w:gridCol w:w="1516"/>
      </w:tblGrid>
      <w:tr w:rsidR="006F51C4" w14:paraId="4AD02B00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C0183F" w14:textId="77777777" w:rsidR="006F51C4" w:rsidRDefault="006F51C4" w:rsidP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6EF1A4" w14:textId="77777777" w:rsidR="006F51C4" w:rsidRDefault="006F51C4" w:rsidP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3908BA" w14:textId="77777777" w:rsidR="006F51C4" w:rsidRDefault="006F51C4" w:rsidP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перший рік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10B3D7" w14:textId="77777777" w:rsidR="006F51C4" w:rsidRDefault="006F51C4" w:rsidP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п’ять років</w:t>
            </w:r>
          </w:p>
        </w:tc>
      </w:tr>
      <w:tr w:rsidR="006F51C4" w14:paraId="0115C180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0E8E6B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7A7C88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84931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ECCA31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37682737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ACFD2E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79919A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D36F40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5FCDD5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65FC7292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B543B8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F3C26A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760472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955C22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06C1124B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C42C60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E7107B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FFB99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141045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03B1A574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E77806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F46189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4E9910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52E1EB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61CD57E4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2505A4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564EC1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180459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6BBA0E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6440FDA4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B1B77F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D94BAB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Витрати, пов'язані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8B25E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1F926B" w14:textId="77777777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F51C4" w14:paraId="281FA335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4F7690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84410F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Інше, гривень</w:t>
            </w:r>
          </w:p>
          <w:p w14:paraId="0FC0D8FC" w14:textId="77777777" w:rsidR="006F51C4" w:rsidRDefault="006F51C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Процедури отримання первинної інформації про вимоги регулювання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14:paraId="7450EAD3" w14:textId="77777777" w:rsidR="006F51C4" w:rsidRDefault="006F51C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</w:rPr>
              <w:t>Формула:</w:t>
            </w:r>
          </w:p>
          <w:p w14:paraId="5F4D9218" w14:textId="77777777" w:rsidR="006F51C4" w:rsidRDefault="006F51C4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форм та заявок Х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суб'єкта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господарювання великого і середнього підприємництва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заробітна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плата) Х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оціночна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форм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EA7CDC" w14:textId="32423C11" w:rsidR="006F51C4" w:rsidRDefault="006F51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год. (час, який витрачається суб’єктами на пошук </w:t>
            </w:r>
            <w:proofErr w:type="spellStart"/>
            <w:r>
              <w:rPr>
                <w:sz w:val="20"/>
                <w:szCs w:val="20"/>
                <w:lang w:val="uk-UA"/>
              </w:rPr>
              <w:t>акта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мережі Інтернет; за результатами консультацій) Х 3</w:t>
            </w:r>
            <w:r w:rsidR="00F81BD8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,1</w:t>
            </w:r>
            <w:r w:rsidR="00C809F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грн. (вартість 1 години роботи виходячи з мінімальної заробітної плати станом на 01.</w:t>
            </w:r>
            <w:r w:rsidR="00F81BD8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.2021)Х 1 акт (кількість нормативно-правових актів, з якими необхідно</w:t>
            </w:r>
          </w:p>
          <w:p w14:paraId="67C4CB1A" w14:textId="5647F575" w:rsidR="006F51C4" w:rsidRDefault="006F51C4" w:rsidP="00C809F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ознайомитись) = </w:t>
            </w:r>
            <w:r>
              <w:rPr>
                <w:sz w:val="28"/>
                <w:szCs w:val="28"/>
                <w:lang w:val="uk-UA"/>
              </w:rPr>
              <w:t>3</w:t>
            </w:r>
            <w:r w:rsidR="00F81BD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,1</w:t>
            </w:r>
            <w:r w:rsidR="00C809F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B093B8" w14:textId="202A02FD" w:rsidR="006F51C4" w:rsidRDefault="006F51C4" w:rsidP="00C8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E7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C80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грн.</w:t>
            </w:r>
          </w:p>
        </w:tc>
      </w:tr>
      <w:tr w:rsidR="006F51C4" w14:paraId="37C9396C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C4E5EB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B55504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(сума рядків: 1 + 2 + 3 + 4 + 5 + 6 + 7 + 8)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8B62D4" w14:textId="58D0F43C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70A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C80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5B39E8" w14:textId="3E84F31E" w:rsidR="006F51C4" w:rsidRDefault="00E70A6D" w:rsidP="00C8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6F51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80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F51C4" w14:paraId="38D707CC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ACAA4B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0DD2B8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одиниць: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599DA8" w14:textId="2575A235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70A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021471" w14:textId="235B0D92" w:rsidR="006F51C4" w:rsidRDefault="006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70A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F51C4" w14:paraId="55B8A572" w14:textId="77777777" w:rsidTr="006F51C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52E14C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99DF54" w14:textId="77777777" w:rsidR="006F51C4" w:rsidRDefault="006F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194E43" w14:textId="5EAE6D89" w:rsidR="006F51C4" w:rsidRDefault="006F51C4" w:rsidP="00C8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2 3</w:t>
            </w:r>
            <w:r w:rsidR="00E70A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80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C5BC0" w14:textId="64AD0A7E" w:rsidR="006F51C4" w:rsidRDefault="006F51C4" w:rsidP="00C8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11 </w:t>
            </w:r>
            <w:r w:rsidR="00E70A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0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C80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65F0CB6B" w14:textId="77777777" w:rsidR="006F51C4" w:rsidRDefault="006F51C4" w:rsidP="00C52690">
      <w:pPr>
        <w:pStyle w:val="af1"/>
        <w:ind w:left="938" w:right="30"/>
      </w:pPr>
    </w:p>
    <w:p w14:paraId="389D331F" w14:textId="77777777" w:rsidR="00E70A6D" w:rsidRDefault="00E70A6D" w:rsidP="00E70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(рядок 11 таблиці «Витрати на одного суб’єкта господарювання великого і середнього підприємництва, які виникають внаслідок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»)</w:t>
      </w:r>
    </w:p>
    <w:p w14:paraId="01BEF060" w14:textId="77777777" w:rsidR="00E70A6D" w:rsidRDefault="00E70A6D" w:rsidP="00E70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shd w:val="clear" w:color="auto" w:fill="FFFFFF"/>
        <w:tblLook w:val="04A0" w:firstRow="1" w:lastRow="0" w:firstColumn="1" w:lastColumn="0" w:noHBand="0" w:noVBand="1"/>
      </w:tblPr>
      <w:tblGrid>
        <w:gridCol w:w="2220"/>
        <w:gridCol w:w="7119"/>
      </w:tblGrid>
      <w:tr w:rsidR="00E70A6D" w14:paraId="1EA7E650" w14:textId="77777777" w:rsidTr="00E70A6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184AA0" w14:textId="77777777" w:rsidR="00E70A6D" w:rsidRDefault="00E7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F394FF" w14:textId="77777777" w:rsidR="00E70A6D" w:rsidRDefault="00E7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E70A6D" w14:paraId="76F4423D" w14:textId="77777777" w:rsidTr="00E70A6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3B3F37" w14:textId="77777777" w:rsidR="00E70A6D" w:rsidRDefault="00E7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F4E4A4" w14:textId="27F9FD9C" w:rsidR="00E70A6D" w:rsidRDefault="0050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2 347,20 грн.</w:t>
            </w:r>
          </w:p>
        </w:tc>
      </w:tr>
      <w:tr w:rsidR="00E70A6D" w14:paraId="0F896CCB" w14:textId="77777777" w:rsidTr="00E70A6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9E1620" w14:textId="77777777" w:rsidR="00E70A6D" w:rsidRDefault="00E7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C375C2" w14:textId="5D7868ED" w:rsidR="00E70A6D" w:rsidRDefault="00C8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2 347,20 </w:t>
            </w:r>
            <w:r w:rsidR="00E70A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14:paraId="261F6F01" w14:textId="77777777" w:rsidR="00E70A6D" w:rsidRDefault="00E70A6D" w:rsidP="00E70A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2493D" w14:textId="77777777" w:rsidR="00E70A6D" w:rsidRDefault="00E70A6D" w:rsidP="000F4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 витрат на адміністрування регулювання суб’єктів господарювання великого і середнього підприємництва не передбачається.</w:t>
      </w:r>
    </w:p>
    <w:p w14:paraId="035CF214" w14:textId="77777777" w:rsidR="006F51C4" w:rsidRDefault="006F51C4" w:rsidP="00C52690">
      <w:pPr>
        <w:pStyle w:val="af1"/>
        <w:ind w:left="938" w:right="30"/>
      </w:pPr>
    </w:p>
    <w:p w14:paraId="2D3C76FE" w14:textId="77777777" w:rsidR="00305DD2" w:rsidRDefault="00305DD2" w:rsidP="00305D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410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14:paraId="03ADC6B1" w14:textId="77777777" w:rsidR="00305DD2" w:rsidRPr="00C85553" w:rsidRDefault="00305DD2" w:rsidP="00305D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C34AA" w14:textId="77777777" w:rsidR="00305DD2" w:rsidRDefault="00305DD2" w:rsidP="000F4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Єдиним способом розв’язання вищезазначених проблем, що відповідає потребам та забезпечує поступове досягнення встановлених цілей, є видання зазначеного регуляторного </w:t>
      </w:r>
      <w:proofErr w:type="spellStart"/>
      <w:r w:rsidRPr="00741304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4130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6D38B9" w14:textId="77777777" w:rsidR="00305DD2" w:rsidRPr="00C85553" w:rsidRDefault="00305DD2" w:rsidP="00305D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9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078"/>
        <w:gridCol w:w="3868"/>
      </w:tblGrid>
      <w:tr w:rsidR="00305DD2" w:rsidRPr="000D6653" w14:paraId="2AE9E025" w14:textId="77777777" w:rsidTr="003961BD">
        <w:trPr>
          <w:tblCellSpacing w:w="0" w:type="dxa"/>
          <w:jc w:val="center"/>
        </w:trPr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D851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5D5D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Бал результативності </w:t>
            </w:r>
            <w:r w:rsidRPr="002E4E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(за чотирибальною системою оцінки)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8CA1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305DD2" w:rsidRPr="000D6653" w14:paraId="77464A9C" w14:textId="77777777" w:rsidTr="003961BD">
        <w:trPr>
          <w:tblCellSpacing w:w="0" w:type="dxa"/>
          <w:jc w:val="center"/>
        </w:trPr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8B53E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E0881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915CE" w14:textId="77777777" w:rsidR="00305DD2" w:rsidRPr="00CF3E12" w:rsidRDefault="00305DD2" w:rsidP="003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досягаються цілі регулювання.</w:t>
            </w:r>
          </w:p>
        </w:tc>
      </w:tr>
      <w:tr w:rsidR="00305DD2" w:rsidRPr="00D2506F" w14:paraId="4CF570A8" w14:textId="77777777" w:rsidTr="003961BD">
        <w:trPr>
          <w:tblCellSpacing w:w="0" w:type="dxa"/>
          <w:jc w:val="center"/>
        </w:trPr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94D83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F8AC3" w14:textId="77777777" w:rsidR="00305DD2" w:rsidRPr="00CF3E12" w:rsidRDefault="00305DD2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B0B19" w14:textId="77777777" w:rsidR="00305DD2" w:rsidRPr="00CF3E12" w:rsidRDefault="00305DD2" w:rsidP="003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Затвердження регуляторного </w:t>
            </w:r>
            <w:proofErr w:type="spellStart"/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найбільш прийнятним та ефективним способом, який </w:t>
            </w:r>
            <w:r w:rsidRPr="00CF3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дозволить досягти повною мірою цілі державного регулювання, визначеної у розділі ІІ цього аналізу регуляторного впливу.</w:t>
            </w:r>
          </w:p>
        </w:tc>
      </w:tr>
    </w:tbl>
    <w:p w14:paraId="7EEFCE2B" w14:textId="77777777" w:rsidR="00305DD2" w:rsidRPr="00C85553" w:rsidRDefault="00305DD2" w:rsidP="00305D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C55276" w14:textId="1A5C7731" w:rsidR="00305DD2" w:rsidRPr="00CF3E12" w:rsidRDefault="00305DD2" w:rsidP="00CF69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12">
        <w:rPr>
          <w:rFonts w:ascii="Times New Roman" w:eastAsia="Times New Roman" w:hAnsi="Times New Roman" w:cs="Times New Roman"/>
          <w:sz w:val="28"/>
          <w:szCs w:val="28"/>
          <w:lang w:val="uk-UA"/>
        </w:rPr>
        <w:t>Обраний спосіб відповідає діючому законодавству, зокрема, Закону України «Про місцеве самоврядування в Україні», Закону України «Про оренду державного та комунального майна», а також постанові Кабінету Міністрів України від 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3E12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 2020 року № 483 «Деякі питання оренди державного та комунального майна» та рішенню Київської міської ради від 23 липня 2020 року № 50/9129 «Про деякі питання оренди комунального майна територіальної громади міста Києва».</w:t>
      </w:r>
    </w:p>
    <w:p w14:paraId="1363286A" w14:textId="77777777" w:rsidR="006F51C4" w:rsidRDefault="006F51C4" w:rsidP="00CF6986">
      <w:pPr>
        <w:pStyle w:val="af1"/>
        <w:ind w:left="0" w:right="30" w:firstLine="709"/>
      </w:pPr>
    </w:p>
    <w:tbl>
      <w:tblPr>
        <w:tblW w:w="93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553"/>
        <w:gridCol w:w="2837"/>
        <w:gridCol w:w="2403"/>
      </w:tblGrid>
      <w:tr w:rsidR="00305DD2" w14:paraId="0BF08C52" w14:textId="77777777" w:rsidTr="00774817">
        <w:trPr>
          <w:tblCellSpacing w:w="0" w:type="dxa"/>
          <w:jc w:val="center"/>
        </w:trPr>
        <w:tc>
          <w:tcPr>
            <w:tcW w:w="1552" w:type="dxa"/>
            <w:hideMark/>
          </w:tcPr>
          <w:p w14:paraId="464D14AB" w14:textId="77777777" w:rsidR="00305DD2" w:rsidRDefault="0030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2551" w:type="dxa"/>
            <w:hideMark/>
          </w:tcPr>
          <w:p w14:paraId="161EB62C" w14:textId="77777777" w:rsidR="00305DD2" w:rsidRDefault="0030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835" w:type="dxa"/>
            <w:hideMark/>
          </w:tcPr>
          <w:p w14:paraId="333F657D" w14:textId="77777777" w:rsidR="00305DD2" w:rsidRDefault="00305DD2" w:rsidP="0077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401" w:type="dxa"/>
            <w:hideMark/>
          </w:tcPr>
          <w:p w14:paraId="22254C65" w14:textId="77777777" w:rsidR="00305DD2" w:rsidRDefault="0030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Обґрунтування  відповідного місця альтернативи у рейтингу</w:t>
            </w:r>
          </w:p>
        </w:tc>
      </w:tr>
      <w:tr w:rsidR="00305DD2" w14:paraId="2889D02A" w14:textId="77777777" w:rsidTr="00774817">
        <w:trPr>
          <w:trHeight w:val="1373"/>
          <w:tblCellSpacing w:w="0" w:type="dxa"/>
          <w:jc w:val="center"/>
        </w:trPr>
        <w:tc>
          <w:tcPr>
            <w:tcW w:w="1552" w:type="dxa"/>
            <w:vMerge w:val="restart"/>
            <w:hideMark/>
          </w:tcPr>
          <w:p w14:paraId="2643E029" w14:textId="5543F4A1" w:rsidR="00305DD2" w:rsidRPr="00DB463F" w:rsidRDefault="0030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</w:t>
            </w:r>
            <w:r w:rsid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тива</w:t>
            </w:r>
            <w:proofErr w:type="spellEnd"/>
            <w:r w:rsidRP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551" w:type="dxa"/>
          </w:tcPr>
          <w:p w14:paraId="14FB4B7B" w14:textId="77777777" w:rsidR="00305DD2" w:rsidRDefault="0030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держави:</w:t>
            </w:r>
          </w:p>
          <w:p w14:paraId="078B6536" w14:textId="77777777" w:rsidR="00305DD2" w:rsidRDefault="00305DD2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14:paraId="09B66C96" w14:textId="77777777" w:rsidR="00305DD2" w:rsidRDefault="0030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6707129" w14:textId="77777777" w:rsidR="00305DD2" w:rsidRDefault="0030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12B2145A" w14:textId="77777777" w:rsidR="00305DD2" w:rsidRDefault="00305DD2" w:rsidP="0077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держави:</w:t>
            </w:r>
          </w:p>
          <w:p w14:paraId="54C38E18" w14:textId="77777777" w:rsidR="00305DD2" w:rsidRDefault="00305DD2" w:rsidP="00774817">
            <w:pPr>
              <w:pStyle w:val="TableParagraph"/>
              <w:ind w:left="0" w:right="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враховано особливості передачі в оренду майна територіальної громади міста Києва.</w:t>
            </w:r>
          </w:p>
          <w:p w14:paraId="6D2F20E8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440E5D97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Відсутній чіткий розподіл коштів отриманих від оренди між бюджетом міста та балансоутримувачами.</w:t>
            </w:r>
          </w:p>
        </w:tc>
        <w:tc>
          <w:tcPr>
            <w:tcW w:w="2401" w:type="dxa"/>
            <w:vMerge w:val="restart"/>
            <w:hideMark/>
          </w:tcPr>
          <w:p w14:paraId="762946B0" w14:textId="77777777" w:rsidR="00305DD2" w:rsidRDefault="0030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Визначена проблема продовжує існувати і не може бути розв’язана оскільки збереження чинного регулювання не дає змоги досягнути цілі державного регулювання, визначеної у розділі ІІ цього аналізу регуляторного впливу.</w:t>
            </w:r>
          </w:p>
        </w:tc>
      </w:tr>
      <w:tr w:rsidR="00305DD2" w14:paraId="61135F87" w14:textId="77777777" w:rsidTr="00774817">
        <w:trPr>
          <w:trHeight w:val="2737"/>
          <w:tblCellSpacing w:w="0" w:type="dxa"/>
          <w:jc w:val="center"/>
        </w:trPr>
        <w:tc>
          <w:tcPr>
            <w:tcW w:w="1552" w:type="dxa"/>
            <w:vMerge/>
            <w:vAlign w:val="center"/>
            <w:hideMark/>
          </w:tcPr>
          <w:p w14:paraId="4A03A968" w14:textId="77777777" w:rsidR="00305DD2" w:rsidRPr="00DB463F" w:rsidRDefault="00305D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51" w:type="dxa"/>
          </w:tcPr>
          <w:p w14:paraId="0986E5EF" w14:textId="77777777" w:rsidR="00305DD2" w:rsidRDefault="0030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172FAB90" w14:textId="77777777" w:rsidR="00305DD2" w:rsidRDefault="0030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 </w:t>
            </w:r>
          </w:p>
          <w:p w14:paraId="1AD56D76" w14:textId="77777777" w:rsidR="00305DD2" w:rsidRDefault="0030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08D4F98C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6D7633BE" w14:textId="396B837B" w:rsidR="00305DD2" w:rsidRDefault="00502454" w:rsidP="0077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209 409,36 грн.</w:t>
            </w:r>
          </w:p>
        </w:tc>
        <w:tc>
          <w:tcPr>
            <w:tcW w:w="2401" w:type="dxa"/>
            <w:vMerge/>
            <w:vAlign w:val="center"/>
            <w:hideMark/>
          </w:tcPr>
          <w:p w14:paraId="6AABEF97" w14:textId="77777777" w:rsidR="00305DD2" w:rsidRDefault="00305D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05DD2" w14:paraId="4DBC1783" w14:textId="77777777" w:rsidTr="00774817">
        <w:trPr>
          <w:trHeight w:val="2737"/>
          <w:tblCellSpacing w:w="0" w:type="dxa"/>
          <w:jc w:val="center"/>
        </w:trPr>
        <w:tc>
          <w:tcPr>
            <w:tcW w:w="1552" w:type="dxa"/>
            <w:hideMark/>
          </w:tcPr>
          <w:p w14:paraId="3F44988F" w14:textId="2B0CB196" w:rsidR="00305DD2" w:rsidRPr="00DB463F" w:rsidRDefault="0030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</w:t>
            </w:r>
            <w:r w:rsid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тива</w:t>
            </w:r>
            <w:proofErr w:type="spellEnd"/>
            <w:r w:rsidRPr="00DB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551" w:type="dxa"/>
          </w:tcPr>
          <w:p w14:paraId="459D699C" w14:textId="77777777" w:rsidR="00305DD2" w:rsidRDefault="00305DD2" w:rsidP="00DB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держави:</w:t>
            </w:r>
          </w:p>
          <w:p w14:paraId="42E96056" w14:textId="54335DC6" w:rsidR="00305DD2" w:rsidRDefault="00305DD2" w:rsidP="00DB463F">
            <w:pPr>
              <w:pStyle w:val="TableParagraph"/>
              <w:ind w:left="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Забезпечено виконання вимог Закону України від 03 жовтня 2019 року № 157-ІХ «Про оренду державного і комунального майна», відповідно до якого </w:t>
            </w:r>
            <w:r w:rsidR="00DB463F">
              <w:rPr>
                <w:sz w:val="28"/>
                <w:szCs w:val="28"/>
                <w:lang w:eastAsia="ru-RU"/>
              </w:rPr>
              <w:t>Методика</w:t>
            </w:r>
            <w:r>
              <w:rPr>
                <w:sz w:val="28"/>
                <w:szCs w:val="28"/>
                <w:lang w:eastAsia="ru-RU"/>
              </w:rPr>
              <w:t xml:space="preserve"> затверджу</w:t>
            </w:r>
            <w:r w:rsidR="00BD21DB">
              <w:rPr>
                <w:sz w:val="28"/>
                <w:szCs w:val="28"/>
                <w:lang w:eastAsia="ru-RU"/>
              </w:rPr>
              <w:t>є</w:t>
            </w:r>
            <w:r>
              <w:rPr>
                <w:sz w:val="28"/>
                <w:szCs w:val="28"/>
                <w:lang w:eastAsia="ru-RU"/>
              </w:rPr>
              <w:t>ться представницьким органом місцевого самоврядування.</w:t>
            </w:r>
          </w:p>
          <w:p w14:paraId="0E2194D8" w14:textId="77777777" w:rsidR="00305DD2" w:rsidRDefault="00305DD2" w:rsidP="00DB463F">
            <w:pPr>
              <w:pStyle w:val="TableParagraph"/>
              <w:ind w:left="51"/>
              <w:rPr>
                <w:sz w:val="28"/>
                <w:szCs w:val="28"/>
                <w:lang w:eastAsia="ru-RU"/>
              </w:rPr>
            </w:pPr>
          </w:p>
          <w:p w14:paraId="3957CE87" w14:textId="382397FA" w:rsidR="00305DD2" w:rsidRDefault="00305DD2" w:rsidP="00DB463F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Встановлено єдині вимоги щодо </w:t>
            </w:r>
            <w:r w:rsidR="00BD21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розрахунку орендної плати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89AE363" w14:textId="77777777" w:rsidR="00305DD2" w:rsidRDefault="00305DD2" w:rsidP="00DB463F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BFC7566" w14:textId="77777777" w:rsidR="00305DD2" w:rsidRDefault="00305DD2" w:rsidP="00DB463F">
            <w:pPr>
              <w:pStyle w:val="TableParagraph"/>
              <w:ind w:left="51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Для суб’єктів господарювання:</w:t>
            </w:r>
          </w:p>
          <w:p w14:paraId="2E47B23D" w14:textId="2DAF0A46" w:rsidR="00305DD2" w:rsidRPr="00502454" w:rsidRDefault="00305DD2" w:rsidP="00502454">
            <w:pPr>
              <w:pStyle w:val="TableParagraph"/>
              <w:ind w:left="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Наявність єдиних вимог до оформлення договірних відносин у сфері оренди майна для кожного окремого виду використання майна.</w:t>
            </w:r>
          </w:p>
        </w:tc>
        <w:tc>
          <w:tcPr>
            <w:tcW w:w="2835" w:type="dxa"/>
          </w:tcPr>
          <w:p w14:paraId="0F8D9DBD" w14:textId="77777777" w:rsidR="00305DD2" w:rsidRDefault="00305DD2" w:rsidP="0077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держави:</w:t>
            </w:r>
          </w:p>
          <w:p w14:paraId="46E90B64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 </w:t>
            </w:r>
          </w:p>
          <w:p w14:paraId="7566C9DA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5A97D3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15404FA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F4FBB25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0CB497E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CF3274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4CF5126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06903CF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1E4AD0A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CCF0A63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DCE42D1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CE64E61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A599BDB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ABCF85F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E915037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7BF49E9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835A44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A2ACEC0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81C0B8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23CB0413" w14:textId="06203E4B" w:rsidR="00305DD2" w:rsidRPr="004A6AED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2949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Загальна сума витрат суб’єктів господарювання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виконання регуляторного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становитиме – </w:t>
            </w:r>
            <w:r w:rsidR="004A6A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209 </w:t>
            </w:r>
            <w:r w:rsidR="00EE1F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409</w:t>
            </w:r>
            <w:r w:rsidR="004A6A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E1F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4A6A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14:paraId="3E680D57" w14:textId="77777777" w:rsidR="00305DD2" w:rsidRDefault="00305DD2" w:rsidP="0077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01" w:type="dxa"/>
          </w:tcPr>
          <w:p w14:paraId="38D4A48A" w14:textId="77777777" w:rsidR="00305DD2" w:rsidRDefault="00305DD2" w:rsidP="00DB463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Затвердження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найбільш прийнятним та ефективним способом, який і дозволить досягти повною мірою цілі державного регулювання, визначеної у розділі ІІ цього аналізу регуляторного впливу.</w:t>
            </w:r>
          </w:p>
          <w:p w14:paraId="50B9051E" w14:textId="77777777" w:rsidR="00305DD2" w:rsidRDefault="00305DD2" w:rsidP="00DB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1B68EB77" w14:textId="77777777" w:rsidR="00305DD2" w:rsidRDefault="00305DD2" w:rsidP="00DB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Оптимальний варіант збалансування інтересів держави та суб’єктів господарювання.</w:t>
            </w:r>
          </w:p>
          <w:p w14:paraId="231DEA8E" w14:textId="77777777" w:rsidR="00305DD2" w:rsidRDefault="00305DD2" w:rsidP="00DB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7C22CF87" w14:textId="43DED2D5" w:rsidR="006F51C4" w:rsidRDefault="00305DD2" w:rsidP="00C52690">
      <w:pPr>
        <w:pStyle w:val="af1"/>
        <w:ind w:left="938" w:right="30"/>
      </w:pPr>
      <w:r>
        <w:rPr>
          <w:bCs/>
        </w:rPr>
        <w:t> </w:t>
      </w:r>
    </w:p>
    <w:p w14:paraId="7FE8D4A3" w14:textId="77777777" w:rsidR="00BD21DB" w:rsidRDefault="00BD21DB" w:rsidP="00BD2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3593"/>
        <w:gridCol w:w="2784"/>
      </w:tblGrid>
      <w:tr w:rsidR="00BD21DB" w14:paraId="520F7CA8" w14:textId="77777777" w:rsidTr="00BD21DB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6894" w14:textId="77777777" w:rsidR="00BD21DB" w:rsidRDefault="00BD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B6E2" w14:textId="77777777" w:rsidR="00BD21DB" w:rsidRDefault="00BD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EA9A8" w14:textId="77777777" w:rsidR="00BD21DB" w:rsidRDefault="00BD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BD21DB" w14:paraId="67F2B9BC" w14:textId="77777777" w:rsidTr="00BD21DB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E15B8" w14:textId="77777777" w:rsidR="00BD21DB" w:rsidRDefault="00BD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01C4" w14:textId="77777777" w:rsidR="00BD21DB" w:rsidRDefault="00BD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Причиною відмови є те, що проблема продовжує існувати і не може бути розв’язана оскільки збереження чинного регулювання не дає змоги досягнути цілі державного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регулювання, визначеної у розділі ІІ цього аналізу регуляторного впливу.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4B8CE" w14:textId="77777777" w:rsidR="00BD21DB" w:rsidRDefault="00BD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Відсутні.</w:t>
            </w:r>
          </w:p>
        </w:tc>
      </w:tr>
      <w:tr w:rsidR="00BD21DB" w14:paraId="6D4B5D59" w14:textId="77777777" w:rsidTr="00BD21DB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C47B9" w14:textId="77777777" w:rsidR="00BD21DB" w:rsidRDefault="00BD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69A8" w14:textId="77777777" w:rsidR="00BD21DB" w:rsidRDefault="00BD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Причини для відмови відсутні. Обрана альтернатива є найбільш раціональним варіантом врахування інтересів всіх груп, на яких проблема справляє вплив. Затвердження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найбільш прийнятним та ефективним способом, який дозволить досягти повною мірою цілі державного регулювання, визначеної у розділі ІІ цього аналізу регуляторного впливу.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4FFD" w14:textId="77777777" w:rsidR="00BD21DB" w:rsidRDefault="00BD21DB" w:rsidP="00BD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разі зміни зовнішніх факторів, відповідний регуляторний акт може бути переглянутий</w:t>
            </w:r>
          </w:p>
        </w:tc>
      </w:tr>
    </w:tbl>
    <w:p w14:paraId="29BD36DA" w14:textId="77777777" w:rsidR="00BD21DB" w:rsidRDefault="00BD21DB" w:rsidP="00BD2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Механізм та заходи, які забезпечать розв’язання визначеної проблеми</w:t>
      </w:r>
    </w:p>
    <w:p w14:paraId="5AEE24C2" w14:textId="77777777" w:rsidR="00BD21DB" w:rsidRPr="00282C1C" w:rsidRDefault="00BD21DB" w:rsidP="00A65BA0">
      <w:pPr>
        <w:pStyle w:val="af1"/>
        <w:ind w:left="0" w:right="30" w:firstLine="709"/>
        <w:jc w:val="both"/>
      </w:pPr>
    </w:p>
    <w:p w14:paraId="1FBB4C6B" w14:textId="77777777" w:rsidR="00396BA6" w:rsidRDefault="00396BA6" w:rsidP="00A65BA0">
      <w:pPr>
        <w:pStyle w:val="af1"/>
        <w:ind w:left="0" w:right="30" w:firstLine="709"/>
        <w:jc w:val="both"/>
      </w:pPr>
      <w:r>
        <w:t>Відповідно до Закону передача державного майна в оренду відбувається на аукціоні. При цьому статтею 15 Закону передбачені виключення з цього загального принципу – певні категорії орендарів мають право на укладення договору оренди без аукціону. Як наслідок, розмір орендної плати формується не на основі ринкового попиту, а відповідно до методики.</w:t>
      </w:r>
    </w:p>
    <w:p w14:paraId="6F6F5E30" w14:textId="73DC695D" w:rsidR="00396BA6" w:rsidRDefault="007059F6" w:rsidP="00A65BA0">
      <w:pPr>
        <w:pStyle w:val="af1"/>
        <w:ind w:left="0" w:right="30" w:firstLine="709"/>
        <w:jc w:val="both"/>
      </w:pPr>
      <w:proofErr w:type="spellStart"/>
      <w:r>
        <w:t>Проє</w:t>
      </w:r>
      <w:r w:rsidR="00396BA6">
        <w:t>ктом</w:t>
      </w:r>
      <w:proofErr w:type="spellEnd"/>
      <w:r w:rsidR="00396BA6">
        <w:t xml:space="preserve"> рішення пропонується залишити перевірений практикою механізм розрахунку орендної плати на основі незалежної оцінки та розміру орендної ставки (в залежності від мети використання/орендаря). </w:t>
      </w:r>
      <w:r w:rsidR="00C80A25">
        <w:t>Певному переліку орендарів, визначеному в пункті 13 Методики</w:t>
      </w:r>
      <w:r w:rsidR="00396BA6">
        <w:t>, буде встановлено річну орендну плату 1 грн/рік.</w:t>
      </w:r>
    </w:p>
    <w:p w14:paraId="1E7D55EB" w14:textId="52B12A45" w:rsidR="00396BA6" w:rsidRDefault="00396BA6" w:rsidP="00A65BA0">
      <w:pPr>
        <w:pStyle w:val="af1"/>
        <w:ind w:left="0" w:right="30" w:firstLine="709"/>
        <w:jc w:val="both"/>
      </w:pPr>
      <w:r>
        <w:t>У свою чергу іншим орендарям, які мають право оренди без аукціону і які не утримуються/фінансуються з місцевого бюджету, будуть встановлені диференційовані орендні ставки.</w:t>
      </w:r>
    </w:p>
    <w:p w14:paraId="4955E339" w14:textId="7B7C2611" w:rsidR="00396BA6" w:rsidRDefault="007059F6" w:rsidP="00A65BA0">
      <w:pPr>
        <w:pStyle w:val="af1"/>
        <w:ind w:left="0" w:right="30" w:firstLine="709"/>
        <w:jc w:val="both"/>
      </w:pPr>
      <w:proofErr w:type="spellStart"/>
      <w:r>
        <w:t>Проє</w:t>
      </w:r>
      <w:r w:rsidR="00396BA6">
        <w:t>ктом</w:t>
      </w:r>
      <w:proofErr w:type="spellEnd"/>
      <w:r w:rsidR="00396BA6">
        <w:t xml:space="preserve"> </w:t>
      </w:r>
      <w:proofErr w:type="spellStart"/>
      <w:r w:rsidR="00396BA6">
        <w:t>акта</w:t>
      </w:r>
      <w:proofErr w:type="spellEnd"/>
      <w:r w:rsidR="00396BA6">
        <w:t xml:space="preserve"> також передбачається врегулювати порядок індексації орендної плати.</w:t>
      </w:r>
    </w:p>
    <w:p w14:paraId="7EFAED27" w14:textId="77777777" w:rsidR="00396BA6" w:rsidRDefault="00396BA6" w:rsidP="00A65BA0">
      <w:pPr>
        <w:pStyle w:val="af1"/>
        <w:ind w:left="0" w:right="30" w:firstLine="709"/>
        <w:jc w:val="both"/>
      </w:pPr>
      <w:r>
        <w:t xml:space="preserve">Чинну </w:t>
      </w:r>
      <w:r w:rsidRPr="00282C1C">
        <w:t>Методику розрахунку орендної плати за майно територіальної громади міста Києва, яке передається в оренду</w:t>
      </w:r>
      <w:r>
        <w:t xml:space="preserve">, затверджену </w:t>
      </w:r>
      <w:r w:rsidRPr="00282C1C">
        <w:t>рішенням Київської міської ради від 21 квітня 2015 року №415/1280 «Про затвердження Положення про оренду майна територіальної громади міста Києва»</w:t>
      </w:r>
      <w:r>
        <w:t>, буде визнано такою, що втратила чинність.</w:t>
      </w:r>
    </w:p>
    <w:p w14:paraId="7B68DD23" w14:textId="0AAC7F73" w:rsidR="00396BA6" w:rsidRPr="00846643" w:rsidRDefault="00846643" w:rsidP="00A65BA0">
      <w:pPr>
        <w:pStyle w:val="af1"/>
        <w:ind w:left="0" w:right="30" w:firstLine="709"/>
        <w:jc w:val="both"/>
      </w:pPr>
      <w:r>
        <w:t xml:space="preserve">2. </w:t>
      </w:r>
      <w:r w:rsidR="00396BA6" w:rsidRPr="00846643">
        <w:t xml:space="preserve">Організаційні заходи впровадження регуляторного </w:t>
      </w:r>
      <w:proofErr w:type="spellStart"/>
      <w:r w:rsidR="00396BA6" w:rsidRPr="00846643">
        <w:t>акта</w:t>
      </w:r>
      <w:proofErr w:type="spellEnd"/>
      <w:r w:rsidR="00396BA6" w:rsidRPr="00846643">
        <w:t xml:space="preserve"> в</w:t>
      </w:r>
      <w:r w:rsidR="00396BA6" w:rsidRPr="00282C1C">
        <w:t xml:space="preserve"> </w:t>
      </w:r>
      <w:r w:rsidR="00396BA6" w:rsidRPr="00846643">
        <w:t>дію.</w:t>
      </w:r>
    </w:p>
    <w:p w14:paraId="00F87E2E" w14:textId="77777777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t>Для розв’язання проблем, визначених у розділі І, передбачається визначити чіткий механізм впорядкування процедури контролю.</w:t>
      </w:r>
    </w:p>
    <w:p w14:paraId="580D64EE" w14:textId="77777777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lastRenderedPageBreak/>
        <w:t>Департаменту комунальної власності м. Києва для впровадження вимог державного регулювання необхідно:</w:t>
      </w:r>
    </w:p>
    <w:p w14:paraId="14E5DD79" w14:textId="00AA9115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t xml:space="preserve">1) забезпечити інформування про вимоги регуляторного </w:t>
      </w:r>
      <w:proofErr w:type="spellStart"/>
      <w:r w:rsidRPr="00846643">
        <w:t>акта</w:t>
      </w:r>
      <w:proofErr w:type="spellEnd"/>
      <w:r w:rsidRPr="00846643">
        <w:t xml:space="preserve"> суб’єктів господарювання – шляхом оприлюднення регуляторного </w:t>
      </w:r>
      <w:proofErr w:type="spellStart"/>
      <w:r w:rsidRPr="00846643">
        <w:t>акта</w:t>
      </w:r>
      <w:proofErr w:type="spellEnd"/>
      <w:r w:rsidRPr="00846643">
        <w:t xml:space="preserve"> </w:t>
      </w:r>
      <w:r w:rsidRPr="00282C1C">
        <w:t xml:space="preserve">на офіційному сайті Київської міської </w:t>
      </w:r>
      <w:r w:rsidR="000F4EE9">
        <w:t>державної адміністрації (www.k</w:t>
      </w:r>
      <w:proofErr w:type="spellStart"/>
      <w:r w:rsidR="000F4EE9">
        <w:rPr>
          <w:lang w:val="en-US"/>
        </w:rPr>
        <w:t>yi</w:t>
      </w:r>
      <w:proofErr w:type="spellEnd"/>
      <w:r w:rsidRPr="00282C1C">
        <w:t>vcity.gov.ua) в розділі «Регуляторна діяльність» для обговорення та отримання пропозицій та зауважень від зацікавлених фізичних та юридичних осіб протягом одного місяця</w:t>
      </w:r>
      <w:r w:rsidRPr="00846643">
        <w:t>;</w:t>
      </w:r>
    </w:p>
    <w:p w14:paraId="516E362F" w14:textId="77777777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t>2) організувати виконання вимог регулювання.</w:t>
      </w:r>
    </w:p>
    <w:p w14:paraId="0C219101" w14:textId="77777777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t>Суб’єктам господарювання для впровадження вимог регулювання необхідно:</w:t>
      </w:r>
    </w:p>
    <w:p w14:paraId="7EC4845D" w14:textId="77777777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t>1) ознайомитися з вимогами</w:t>
      </w:r>
      <w:r w:rsidRPr="00282C1C">
        <w:t xml:space="preserve"> </w:t>
      </w:r>
      <w:r w:rsidRPr="00846643">
        <w:t>регулювання;</w:t>
      </w:r>
    </w:p>
    <w:p w14:paraId="5416DC0B" w14:textId="77777777" w:rsidR="00396BA6" w:rsidRPr="00846643" w:rsidRDefault="00396BA6" w:rsidP="00A65BA0">
      <w:pPr>
        <w:pStyle w:val="af1"/>
        <w:ind w:left="0" w:right="30" w:firstLine="709"/>
        <w:jc w:val="both"/>
      </w:pPr>
      <w:r w:rsidRPr="00846643">
        <w:t>2) організувати виконання вимог</w:t>
      </w:r>
      <w:r w:rsidRPr="00282C1C">
        <w:t xml:space="preserve"> </w:t>
      </w:r>
      <w:r w:rsidRPr="00846643">
        <w:t>регулювання.</w:t>
      </w:r>
    </w:p>
    <w:p w14:paraId="7FE6667C" w14:textId="77777777" w:rsidR="00282C1C" w:rsidRDefault="00282C1C" w:rsidP="008466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9D9E077" w14:textId="346ACA79" w:rsidR="00846643" w:rsidRPr="007D044C" w:rsidRDefault="00846643" w:rsidP="008466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D04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VІ. Оцінка виконання вимог регуляторного </w:t>
      </w:r>
      <w:proofErr w:type="spellStart"/>
      <w:r w:rsidRPr="007D04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Pr="007D04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68500C1" w14:textId="77777777" w:rsidR="00846643" w:rsidRPr="000D6653" w:rsidRDefault="00846643" w:rsidP="00846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14:paraId="677AEFE9" w14:textId="77777777" w:rsidR="00846643" w:rsidRPr="007D044C" w:rsidRDefault="00846643" w:rsidP="00A6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регуляторного </w:t>
      </w:r>
      <w:proofErr w:type="spellStart"/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7252AAF6" w14:textId="77777777" w:rsidR="00846643" w:rsidRPr="007D044C" w:rsidRDefault="00846643" w:rsidP="00A65B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7D044C">
        <w:rPr>
          <w:sz w:val="28"/>
          <w:szCs w:val="28"/>
          <w:lang w:val="uk-UA"/>
        </w:rPr>
        <w:t>Проєкт</w:t>
      </w:r>
      <w:proofErr w:type="spellEnd"/>
      <w:r w:rsidRPr="007D044C">
        <w:rPr>
          <w:sz w:val="28"/>
          <w:szCs w:val="28"/>
          <w:lang w:val="uk-UA"/>
        </w:rPr>
        <w:t xml:space="preserve"> рішення не містить дискримінаційних або таких, що обмежують конкуренцію норм.</w:t>
      </w:r>
    </w:p>
    <w:p w14:paraId="6875A018" w14:textId="77777777" w:rsidR="00846643" w:rsidRPr="007D044C" w:rsidRDefault="00846643" w:rsidP="00A65B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44C">
        <w:rPr>
          <w:sz w:val="28"/>
          <w:szCs w:val="28"/>
          <w:lang w:val="uk-UA"/>
        </w:rPr>
        <w:t xml:space="preserve">Враховуючи те, що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становить </w:t>
      </w:r>
      <w:r w:rsidRPr="007D044C">
        <w:rPr>
          <w:color w:val="000000" w:themeColor="text1"/>
          <w:sz w:val="28"/>
          <w:szCs w:val="28"/>
          <w:lang w:val="uk-UA" w:eastAsia="uk-UA"/>
        </w:rPr>
        <w:t xml:space="preserve">майже 99 </w:t>
      </w:r>
      <w:r w:rsidRPr="007D044C">
        <w:rPr>
          <w:sz w:val="28"/>
          <w:szCs w:val="28"/>
          <w:lang w:val="uk-UA"/>
        </w:rPr>
        <w:t xml:space="preserve">відсотків, тому розрахунок витрат на запровадження державного регулювання для суб’єктів малого підприємництва у відповідності до Методики проведення аналізу впливу регуляторного </w:t>
      </w:r>
      <w:proofErr w:type="spellStart"/>
      <w:r w:rsidRPr="007D044C">
        <w:rPr>
          <w:sz w:val="28"/>
          <w:szCs w:val="28"/>
          <w:lang w:val="uk-UA"/>
        </w:rPr>
        <w:t>акта</w:t>
      </w:r>
      <w:proofErr w:type="spellEnd"/>
      <w:r w:rsidRPr="007D044C">
        <w:rPr>
          <w:sz w:val="28"/>
          <w:szCs w:val="28"/>
          <w:lang w:val="uk-UA"/>
        </w:rPr>
        <w:t>, здійснювалась за допомогою тестування малого підприємництва (М-Тест), що додається.</w:t>
      </w:r>
    </w:p>
    <w:p w14:paraId="038B94F6" w14:textId="77777777" w:rsidR="00846643" w:rsidRPr="007D044C" w:rsidRDefault="00846643" w:rsidP="00A65B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Можлива шкода у разі очікуваних наслідків дії </w:t>
      </w:r>
      <w:proofErr w:type="spellStart"/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прогнозується.</w:t>
      </w:r>
    </w:p>
    <w:p w14:paraId="1CDE457C" w14:textId="77777777" w:rsidR="00846643" w:rsidRPr="007D044C" w:rsidRDefault="00846643" w:rsidP="00A6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Державний контроль за додержанням вимог цього регуляторного </w:t>
      </w:r>
      <w:proofErr w:type="spellStart"/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7D0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буде здійснюватися органами виконавчої влади у межах їх компетенції відповідно до законодавства.</w:t>
      </w:r>
    </w:p>
    <w:p w14:paraId="18B1CB44" w14:textId="77CFAB91" w:rsidR="00305DD2" w:rsidRPr="00846643" w:rsidRDefault="00305DD2" w:rsidP="00A65BA0">
      <w:pPr>
        <w:pStyle w:val="af1"/>
        <w:ind w:left="0" w:right="30" w:firstLine="709"/>
      </w:pPr>
    </w:p>
    <w:p w14:paraId="4EFF7DA0" w14:textId="77777777" w:rsidR="00282C1C" w:rsidRDefault="00282C1C" w:rsidP="00282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VІІ. Обґрунтування запропонованого строку дії регуляторного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14:paraId="3A834A9A" w14:textId="77777777" w:rsidR="00282C1C" w:rsidRDefault="00282C1C" w:rsidP="000F4E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Строк дії цього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постійною.</w:t>
      </w:r>
    </w:p>
    <w:p w14:paraId="59D1C9DD" w14:textId="77777777" w:rsidR="00282C1C" w:rsidRDefault="00282C1C" w:rsidP="000F4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внесенні змін до чинного законодавства, що можуть вплинути на дію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до нього будуть внесені відповідні корективи в установленому порядку.</w:t>
      </w:r>
    </w:p>
    <w:p w14:paraId="603A0DE8" w14:textId="77777777" w:rsidR="00282C1C" w:rsidRDefault="00282C1C" w:rsidP="00282C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E346954" w14:textId="77777777" w:rsidR="00282C1C" w:rsidRDefault="00282C1C" w:rsidP="00282C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VІІІ. Визначення показників результативності дії регуляторного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14:paraId="2BB99282" w14:textId="77777777" w:rsidR="00282C1C" w:rsidRDefault="00282C1C" w:rsidP="000F4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Прогнозовані показники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9365AA6" w14:textId="2A8C87FB" w:rsidR="00282C1C" w:rsidRDefault="00282C1C" w:rsidP="000F4EE9">
      <w:pPr>
        <w:pStyle w:val="af1"/>
        <w:ind w:left="0" w:right="284" w:firstLine="709"/>
        <w:jc w:val="both"/>
        <w:rPr>
          <w:spacing w:val="-4"/>
        </w:rPr>
      </w:pPr>
      <w:r>
        <w:rPr>
          <w:spacing w:val="-4"/>
        </w:rPr>
        <w:t xml:space="preserve">розмір надходжень до бюджету міста Києва, пов’язаних з дією </w:t>
      </w:r>
      <w:proofErr w:type="spellStart"/>
      <w:r>
        <w:rPr>
          <w:spacing w:val="-4"/>
        </w:rPr>
        <w:t>акта</w:t>
      </w:r>
      <w:proofErr w:type="spellEnd"/>
      <w:r>
        <w:rPr>
          <w:spacing w:val="-4"/>
        </w:rPr>
        <w:t>;</w:t>
      </w:r>
    </w:p>
    <w:p w14:paraId="0540487B" w14:textId="6C49683F" w:rsidR="00282C1C" w:rsidRDefault="00282C1C" w:rsidP="000F4EE9">
      <w:pPr>
        <w:pStyle w:val="af1"/>
        <w:ind w:left="0" w:right="284" w:firstLine="709"/>
        <w:jc w:val="both"/>
        <w:rPr>
          <w:spacing w:val="-4"/>
        </w:rPr>
      </w:pPr>
      <w:r>
        <w:rPr>
          <w:spacing w:val="-4"/>
        </w:rPr>
        <w:t>кількість укладених договорів оренди майна територіальної громади міста Києва;</w:t>
      </w:r>
    </w:p>
    <w:p w14:paraId="0E2956AD" w14:textId="4FE264BC" w:rsidR="00282C1C" w:rsidRDefault="00282C1C" w:rsidP="000F4EE9">
      <w:pPr>
        <w:pStyle w:val="af1"/>
        <w:ind w:left="0" w:right="284" w:firstLine="709"/>
        <w:jc w:val="both"/>
        <w:rPr>
          <w:spacing w:val="-4"/>
        </w:rPr>
      </w:pPr>
      <w:r>
        <w:rPr>
          <w:spacing w:val="-4"/>
        </w:rPr>
        <w:t>кількість пролонгованих догорів оренди.</w:t>
      </w:r>
    </w:p>
    <w:p w14:paraId="74F5DEE5" w14:textId="1774F5E6" w:rsidR="00305DD2" w:rsidRDefault="00305DD2" w:rsidP="00C52690">
      <w:pPr>
        <w:pStyle w:val="af1"/>
        <w:ind w:left="938" w:right="30"/>
      </w:pPr>
    </w:p>
    <w:p w14:paraId="493376A4" w14:textId="77777777" w:rsidR="00CC4F83" w:rsidRPr="0074104A" w:rsidRDefault="00CC4F83" w:rsidP="00CC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410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14:paraId="565B5C33" w14:textId="6B40B297" w:rsidR="00CC4F83" w:rsidRPr="00E04103" w:rsidRDefault="00CC4F83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4104A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74104A">
        <w:rPr>
          <w:sz w:val="28"/>
          <w:szCs w:val="28"/>
          <w:lang w:val="uk-UA"/>
        </w:rPr>
        <w:t>акта</w:t>
      </w:r>
      <w:proofErr w:type="spellEnd"/>
      <w:r w:rsidRPr="0074104A">
        <w:rPr>
          <w:sz w:val="28"/>
          <w:szCs w:val="28"/>
          <w:lang w:val="uk-UA"/>
        </w:rPr>
        <w:t xml:space="preserve"> буде здійснюватися Департаментом </w:t>
      </w:r>
      <w:r>
        <w:rPr>
          <w:sz w:val="28"/>
          <w:szCs w:val="28"/>
          <w:lang w:val="uk-UA"/>
        </w:rPr>
        <w:t>комунальної власності м. Києва</w:t>
      </w:r>
      <w:r w:rsidRPr="0074104A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відповідно до вимог статті 10 Закону України «Про засади державної регуляторної політики у сфері </w:t>
      </w:r>
      <w:r w:rsidRPr="00E04103">
        <w:rPr>
          <w:sz w:val="28"/>
          <w:szCs w:val="28"/>
          <w:lang w:val="uk-UA"/>
        </w:rPr>
        <w:t xml:space="preserve">господарської діяльності», та Методики відстеження результативності регуляторного </w:t>
      </w:r>
      <w:proofErr w:type="spellStart"/>
      <w:r w:rsidRPr="00E04103">
        <w:rPr>
          <w:sz w:val="28"/>
          <w:szCs w:val="28"/>
          <w:lang w:val="uk-UA"/>
        </w:rPr>
        <w:t>акта</w:t>
      </w:r>
      <w:proofErr w:type="spellEnd"/>
      <w:r w:rsidRPr="00E04103">
        <w:rPr>
          <w:sz w:val="28"/>
          <w:szCs w:val="28"/>
          <w:lang w:val="uk-UA"/>
        </w:rPr>
        <w:t>, затвердженої постановою Кабінету Міністрів України від 11.03.2004 № 308 «Про затвердження методик</w:t>
      </w:r>
      <w:r w:rsidR="00774817">
        <w:rPr>
          <w:sz w:val="28"/>
          <w:szCs w:val="28"/>
          <w:lang w:val="uk-UA"/>
        </w:rPr>
        <w:t>и</w:t>
      </w:r>
      <w:r w:rsidRPr="00E04103">
        <w:rPr>
          <w:sz w:val="28"/>
          <w:szCs w:val="28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E04103">
        <w:rPr>
          <w:sz w:val="28"/>
          <w:szCs w:val="28"/>
          <w:lang w:val="uk-UA"/>
        </w:rPr>
        <w:t>акта</w:t>
      </w:r>
      <w:proofErr w:type="spellEnd"/>
      <w:r w:rsidRPr="00E04103">
        <w:rPr>
          <w:sz w:val="28"/>
          <w:szCs w:val="28"/>
          <w:lang w:val="uk-UA"/>
        </w:rPr>
        <w:t>» (із змінами від 16.12.2015 № 1151).</w:t>
      </w:r>
    </w:p>
    <w:p w14:paraId="712FF663" w14:textId="1579CEC4" w:rsidR="00E04103" w:rsidRPr="00D2506F" w:rsidRDefault="00E04103" w:rsidP="00E041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 відстеження результативності буде здійснене після набрання чинності цим регуляторним актом</w:t>
      </w:r>
      <w:r w:rsidR="00F433ED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оскільки на період дії воєнного стану діє рішення Київської міської ради від 14.07.2022 №4909/4950, яким орендарі об’єктів комунальної власності територіальної громади міста Києва звільняються від нарахування орендної плати на період дії воєнного стану </w:t>
      </w:r>
      <w:r w:rsidR="00F63E2C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>та один місяць після його закінчення</w:t>
      </w:r>
      <w:r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4A91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 не пізніше дня, з якого починається проведення повторного відстеження результативності цього </w:t>
      </w:r>
      <w:proofErr w:type="spellStart"/>
      <w:r w:rsidR="00C64A91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C64A91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повторне відстеження – через рік з дня набрання чинності, але не пізніше двох років з дня набрання чинності регуляторного </w:t>
      </w:r>
      <w:proofErr w:type="spellStart"/>
      <w:r w:rsidR="00C64A91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C64A91" w:rsidRPr="00D250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3A26A64" w14:textId="77777777" w:rsidR="00CC4F83" w:rsidRPr="00E04103" w:rsidRDefault="00CC4F83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2506F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D2506F">
        <w:rPr>
          <w:sz w:val="28"/>
          <w:szCs w:val="28"/>
          <w:lang w:val="uk-UA"/>
        </w:rPr>
        <w:t>акта</w:t>
      </w:r>
      <w:proofErr w:type="spellEnd"/>
      <w:r w:rsidRPr="00D2506F">
        <w:rPr>
          <w:sz w:val="28"/>
          <w:szCs w:val="28"/>
          <w:lang w:val="uk-UA"/>
        </w:rPr>
        <w:t xml:space="preserve"> буде </w:t>
      </w:r>
      <w:r w:rsidRPr="00E04103">
        <w:rPr>
          <w:sz w:val="28"/>
          <w:szCs w:val="28"/>
          <w:lang w:val="uk-UA"/>
        </w:rPr>
        <w:t xml:space="preserve">здійснюватися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E04103">
        <w:rPr>
          <w:sz w:val="28"/>
          <w:szCs w:val="28"/>
          <w:lang w:val="uk-UA"/>
        </w:rPr>
        <w:t>акта</w:t>
      </w:r>
      <w:proofErr w:type="spellEnd"/>
      <w:r w:rsidRPr="00E04103">
        <w:rPr>
          <w:sz w:val="28"/>
          <w:szCs w:val="28"/>
          <w:lang w:val="uk-UA"/>
        </w:rPr>
        <w:t>.</w:t>
      </w:r>
    </w:p>
    <w:p w14:paraId="68D87A1C" w14:textId="77777777" w:rsidR="00CC4F83" w:rsidRPr="00E04103" w:rsidRDefault="00CC4F83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4103">
        <w:rPr>
          <w:sz w:val="28"/>
          <w:szCs w:val="28"/>
          <w:lang w:val="uk-UA"/>
        </w:rPr>
        <w:t xml:space="preserve">Відстеження результативності даного </w:t>
      </w:r>
      <w:proofErr w:type="spellStart"/>
      <w:r w:rsidRPr="00E04103">
        <w:rPr>
          <w:sz w:val="28"/>
          <w:szCs w:val="28"/>
          <w:lang w:val="uk-UA"/>
        </w:rPr>
        <w:t>акта</w:t>
      </w:r>
      <w:proofErr w:type="spellEnd"/>
      <w:r w:rsidRPr="00E04103">
        <w:rPr>
          <w:sz w:val="28"/>
          <w:szCs w:val="28"/>
          <w:lang w:val="uk-UA"/>
        </w:rPr>
        <w:t xml:space="preserve"> буде здійснюватися статистичним методом.</w:t>
      </w:r>
    </w:p>
    <w:p w14:paraId="1762605D" w14:textId="77777777" w:rsidR="00E04103" w:rsidRPr="00E04103" w:rsidRDefault="00E04103" w:rsidP="00E041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здійснюватися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4179D69" w14:textId="77777777" w:rsidR="00E04103" w:rsidRPr="00E04103" w:rsidRDefault="00E04103" w:rsidP="00E041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Відстеження результативності даного </w:t>
      </w:r>
      <w:proofErr w:type="spellStart"/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E04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здійснюватися статистичним методом.</w:t>
      </w:r>
    </w:p>
    <w:p w14:paraId="75641F3B" w14:textId="1D0F135F" w:rsidR="00502454" w:rsidRPr="00E04103" w:rsidRDefault="00502454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666DD94" w14:textId="5362FA97" w:rsidR="00502454" w:rsidRDefault="00502454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7344953" w14:textId="4BEDC028" w:rsidR="002E4E69" w:rsidRDefault="002E4E69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AF1918C" w14:textId="2069B1F4" w:rsidR="002E4E69" w:rsidRDefault="002E4E69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1DCAE7E" w14:textId="5A1ECAE0" w:rsidR="002E4E69" w:rsidRDefault="002E4E69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A59C891" w14:textId="77777777" w:rsidR="002E4E69" w:rsidRDefault="002E4E69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94388E5" w14:textId="77777777" w:rsidR="00502454" w:rsidRDefault="00502454" w:rsidP="00CC4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699E06D" w14:textId="6B44DD8F" w:rsidR="001C0BF2" w:rsidRPr="0086007F" w:rsidRDefault="0086007F" w:rsidP="0086007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uk-UA"/>
        </w:rPr>
      </w:pPr>
      <w:r w:rsidRPr="0086007F">
        <w:rPr>
          <w:b/>
          <w:sz w:val="28"/>
          <w:szCs w:val="28"/>
          <w:lang w:val="uk-UA"/>
        </w:rPr>
        <w:lastRenderedPageBreak/>
        <w:t>Додаток 1</w:t>
      </w:r>
    </w:p>
    <w:p w14:paraId="56649214" w14:textId="77777777" w:rsidR="0086007F" w:rsidRPr="006B1C94" w:rsidRDefault="0086007F" w:rsidP="0086007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14:paraId="4C01C1D5" w14:textId="77777777" w:rsidR="001C0BF2" w:rsidRPr="0086007F" w:rsidRDefault="001C0BF2" w:rsidP="001C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00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 МАЛОГО ПІДПРИЄМНИЦТВА (М-Тест) </w:t>
      </w:r>
    </w:p>
    <w:p w14:paraId="7A75E2AA" w14:textId="77777777" w:rsidR="001C0BF2" w:rsidRPr="001C0BF2" w:rsidRDefault="001C0BF2" w:rsidP="001C0BF2">
      <w:pPr>
        <w:tabs>
          <w:tab w:val="left" w:pos="5220"/>
        </w:tabs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</w:p>
    <w:p w14:paraId="79D4FE2F" w14:textId="77777777" w:rsidR="001C0BF2" w:rsidRPr="00C85553" w:rsidRDefault="001C0BF2" w:rsidP="001C0BF2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5553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C8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55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Консультації з представниками мікро- та малого підприємництва щодо оцінки впливу регулювання.</w:t>
      </w:r>
    </w:p>
    <w:p w14:paraId="7B2847E8" w14:textId="5D0179E4" w:rsidR="001C0BF2" w:rsidRDefault="001C0BF2" w:rsidP="001C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5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виконання регулювання, проведено розробником з квітня 2021 року по </w:t>
      </w:r>
      <w:r w:rsidR="00B31B9E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C85553">
        <w:rPr>
          <w:rFonts w:ascii="Times New Roman" w:hAnsi="Times New Roman" w:cs="Times New Roman"/>
          <w:sz w:val="28"/>
          <w:szCs w:val="28"/>
          <w:lang w:val="uk-UA"/>
        </w:rPr>
        <w:t>2021 року.</w:t>
      </w:r>
    </w:p>
    <w:p w14:paraId="1CAE1AA3" w14:textId="6988FFBD" w:rsidR="00B31B9E" w:rsidRDefault="00B31B9E" w:rsidP="001C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7E022" w14:textId="00FDF7B9" w:rsidR="00B31B9E" w:rsidRDefault="00B31B9E" w:rsidP="00B31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14:paraId="21E8581C" w14:textId="77777777" w:rsidR="00B31B9E" w:rsidRDefault="00B31B9E" w:rsidP="001C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84"/>
        <w:gridCol w:w="1868"/>
        <w:gridCol w:w="4137"/>
      </w:tblGrid>
      <w:tr w:rsidR="001C0BF2" w:rsidRPr="00B31B9E" w14:paraId="7AC53DF4" w14:textId="77777777" w:rsidTr="00B31B9E">
        <w:trPr>
          <w:trHeight w:val="2937"/>
        </w:trPr>
        <w:tc>
          <w:tcPr>
            <w:tcW w:w="654" w:type="dxa"/>
          </w:tcPr>
          <w:p w14:paraId="11A81BFD" w14:textId="77777777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84" w:type="dxa"/>
          </w:tcPr>
          <w:p w14:paraId="79466B1C" w14:textId="77777777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68" w:type="dxa"/>
          </w:tcPr>
          <w:p w14:paraId="1D8805D6" w14:textId="77777777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 консультацій, осіб</w:t>
            </w:r>
          </w:p>
        </w:tc>
        <w:tc>
          <w:tcPr>
            <w:tcW w:w="4137" w:type="dxa"/>
          </w:tcPr>
          <w:p w14:paraId="0654B58B" w14:textId="77777777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результати консультацій (опис)</w:t>
            </w:r>
          </w:p>
        </w:tc>
      </w:tr>
      <w:tr w:rsidR="001C0BF2" w:rsidRPr="00B31B9E" w14:paraId="4127D173" w14:textId="77777777" w:rsidTr="00B31B9E">
        <w:tc>
          <w:tcPr>
            <w:tcW w:w="654" w:type="dxa"/>
          </w:tcPr>
          <w:p w14:paraId="7BE6BD23" w14:textId="77777777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84" w:type="dxa"/>
          </w:tcPr>
          <w:p w14:paraId="2981F7A5" w14:textId="77777777" w:rsidR="001C0BF2" w:rsidRPr="00B31B9E" w:rsidRDefault="001D08E4" w:rsidP="00B3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Телефонні розмови</w:t>
            </w:r>
          </w:p>
          <w:p w14:paraId="6F8F6040" w14:textId="71C082CE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ФО-П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П.</w:t>
            </w:r>
          </w:p>
          <w:p w14:paraId="5D82F6A5" w14:textId="7D47ED80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ФО-П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І.</w:t>
            </w:r>
          </w:p>
          <w:p w14:paraId="349DCE97" w14:textId="0880264F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ФО-П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Добри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14:paraId="250B5677" w14:textId="62675F71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ФО-П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Побоченко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  <w:p w14:paraId="3F00E461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«ЛЕВМЕД»</w:t>
            </w:r>
          </w:p>
          <w:p w14:paraId="20462C37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«Каспій-1»</w:t>
            </w:r>
          </w:p>
          <w:p w14:paraId="3F1AFEB1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«Ері-груп»</w:t>
            </w:r>
          </w:p>
          <w:p w14:paraId="09A9956F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«Житло -2017»</w:t>
            </w:r>
          </w:p>
          <w:p w14:paraId="45365586" w14:textId="711841A3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ФО-П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Очеретян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14:paraId="3611D2CE" w14:textId="19A0227F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ФО-П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  <w:p w14:paraId="64D0EC32" w14:textId="3B6A2B69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ФО-П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Рудківський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021F51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</w:t>
            </w:r>
            <w:r w:rsidRPr="00B31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«МІРІДАС»</w:t>
            </w:r>
          </w:p>
          <w:p w14:paraId="0B827427" w14:textId="125FE3F1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ФО-П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Трушкіна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  <w:p w14:paraId="59F8ACCD" w14:textId="47F2F5CD" w:rsidR="00B31B9E" w:rsidRPr="00B31B9E" w:rsidRDefault="00B31B9E" w:rsidP="00F55121">
            <w:pPr>
              <w:tabs>
                <w:tab w:val="left" w:pos="5560"/>
              </w:tabs>
              <w:spacing w:after="0" w:line="240" w:lineRule="exact"/>
              <w:ind w:left="87" w:hanging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ФО-П </w:t>
            </w:r>
            <w:proofErr w:type="spellStart"/>
            <w:r w:rsidRPr="00B31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Двигалюк</w:t>
            </w:r>
            <w:proofErr w:type="spellEnd"/>
            <w:r w:rsidRPr="00B31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 </w:t>
            </w:r>
          </w:p>
          <w:p w14:paraId="340A23AB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ТОВ «ВЕНІ ВІДЕ ВІЧЕ»</w:t>
            </w:r>
          </w:p>
          <w:p w14:paraId="04071FE1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Медекспрес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5EBC87" w14:textId="7777777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ТОВ «ІНТЕРМЕД ПРОФІ»</w:t>
            </w:r>
          </w:p>
          <w:p w14:paraId="6D734CF3" w14:textId="0930E153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ФО-П Судакова Т.</w:t>
            </w:r>
          </w:p>
          <w:p w14:paraId="7B5BF22C" w14:textId="48170713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ФО-П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Кузмінчук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14:paraId="11667168" w14:textId="152FAEBA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ФО-П Мазуренко Л. </w:t>
            </w:r>
          </w:p>
          <w:p w14:paraId="22195A28" w14:textId="0EF554B3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ФО-П Карпенко О.</w:t>
            </w:r>
          </w:p>
          <w:p w14:paraId="41A46CEC" w14:textId="10385B17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ФО-П Чеботарьова </w:t>
            </w:r>
          </w:p>
          <w:p w14:paraId="27F5C56F" w14:textId="3FE7CD55" w:rsidR="00B31B9E" w:rsidRPr="00B31B9E" w:rsidRDefault="00B31B9E" w:rsidP="00B31B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ФО-П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Бабошкіна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</w:p>
          <w:p w14:paraId="4F4EAF80" w14:textId="2C2D1AA3" w:rsidR="001D08E4" w:rsidRPr="00B31B9E" w:rsidRDefault="00B31B9E" w:rsidP="00F5512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ФО-П </w:t>
            </w: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Кропотко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1868" w:type="dxa"/>
          </w:tcPr>
          <w:p w14:paraId="6162A535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BCAE1C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7B51F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DBAFF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6B6607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6C4D9F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EBD240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C1A0EC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ACB76F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65A434" w14:textId="77777777" w:rsidR="00F55121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AFAE60" w14:textId="3A061523" w:rsidR="001C0BF2" w:rsidRPr="00B31B9E" w:rsidRDefault="00F55121" w:rsidP="00577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37" w:type="dxa"/>
          </w:tcPr>
          <w:p w14:paraId="26C1496E" w14:textId="10986597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підтримується.</w:t>
            </w:r>
          </w:p>
          <w:p w14:paraId="02EA083A" w14:textId="435AA66E" w:rsidR="00F55121" w:rsidRDefault="00E0717C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Обговорені</w:t>
            </w:r>
            <w:r w:rsidR="00E9177B" w:rsidRPr="00B31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щодо </w:t>
            </w:r>
            <w:r w:rsidR="00F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розрахунку орендної плати та встановленню орендних ставок</w:t>
            </w:r>
          </w:p>
          <w:p w14:paraId="04317E23" w14:textId="77777777" w:rsidR="00F55121" w:rsidRDefault="00F55121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63CFCD" w14:textId="79C0AA7A" w:rsidR="001C0BF2" w:rsidRPr="00B31B9E" w:rsidRDefault="001C0BF2" w:rsidP="001C0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2AAECB6" w14:textId="77777777" w:rsidR="001C0BF2" w:rsidRPr="001C0BF2" w:rsidRDefault="001C0BF2" w:rsidP="001C0BF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247CF12" w14:textId="77777777" w:rsidR="001C0BF2" w:rsidRPr="00C85553" w:rsidRDefault="001C0BF2" w:rsidP="001C0B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0BF2">
        <w:rPr>
          <w:rFonts w:ascii="Times New Roman" w:hAnsi="Times New Roman" w:cs="Times New Roman"/>
          <w:b/>
          <w:bCs/>
          <w:lang w:val="uk-UA"/>
        </w:rPr>
        <w:tab/>
      </w:r>
      <w:r w:rsidRPr="00C85553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малі).</w:t>
      </w:r>
    </w:p>
    <w:p w14:paraId="57DFADEB" w14:textId="470D854B" w:rsidR="001C0BF2" w:rsidRPr="00C85553" w:rsidRDefault="001C0BF2" w:rsidP="001C0BF2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553">
        <w:rPr>
          <w:rFonts w:ascii="Times New Roman" w:hAnsi="Times New Roman" w:cs="Times New Roman"/>
          <w:sz w:val="28"/>
          <w:szCs w:val="28"/>
          <w:lang w:val="uk-UA"/>
        </w:rPr>
        <w:t xml:space="preserve">2.1 Кількість суб’єктів малого підприємництва, на яких поширюється регулювання: </w:t>
      </w:r>
      <w:r w:rsidR="001D08E4" w:rsidRPr="00C855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4403"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C85553">
        <w:rPr>
          <w:rFonts w:ascii="Times New Roman" w:hAnsi="Times New Roman" w:cs="Times New Roman"/>
          <w:sz w:val="28"/>
          <w:szCs w:val="28"/>
          <w:lang w:val="uk-UA"/>
        </w:rPr>
        <w:t xml:space="preserve"> одиниці, малого підприємництва </w:t>
      </w:r>
      <w:r w:rsidR="001D08E4" w:rsidRPr="00C855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4403"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C85553">
        <w:rPr>
          <w:rFonts w:ascii="Times New Roman" w:hAnsi="Times New Roman" w:cs="Times New Roman"/>
          <w:sz w:val="28"/>
          <w:szCs w:val="28"/>
          <w:lang w:val="uk-UA"/>
        </w:rPr>
        <w:t xml:space="preserve"> одиниці. </w:t>
      </w:r>
    </w:p>
    <w:p w14:paraId="3B1FFC0B" w14:textId="4C92ED3D" w:rsidR="001C0BF2" w:rsidRPr="00C85553" w:rsidRDefault="00B40E8C" w:rsidP="001C0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55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 питома вага суб’єктів</w:t>
      </w:r>
      <w:r w:rsidR="001C0BF2" w:rsidRPr="00C855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малого підприємництва у загальній кількості суб'єктів господарювання, на яких проблема справляє </w:t>
      </w:r>
      <w:r w:rsidR="001C0BF2" w:rsidRPr="00C85553">
        <w:rPr>
          <w:rFonts w:ascii="Times New Roman" w:hAnsi="Times New Roman" w:cs="Times New Roman"/>
          <w:sz w:val="28"/>
          <w:szCs w:val="28"/>
          <w:lang w:val="uk-UA"/>
        </w:rPr>
        <w:t xml:space="preserve">вплив: </w:t>
      </w:r>
      <w:r w:rsidR="001D08E4" w:rsidRPr="00C85553">
        <w:rPr>
          <w:rFonts w:ascii="Times New Roman" w:hAnsi="Times New Roman" w:cs="Times New Roman"/>
          <w:sz w:val="28"/>
          <w:szCs w:val="28"/>
          <w:lang w:val="uk-UA"/>
        </w:rPr>
        <w:t>98,8</w:t>
      </w:r>
      <w:r w:rsidR="00B944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0BF2" w:rsidRPr="00C85553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55150C82" w14:textId="77777777" w:rsidR="001C0BF2" w:rsidRPr="00C85553" w:rsidRDefault="001C0BF2" w:rsidP="001C0B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DC141" w14:textId="2F71C1A6" w:rsidR="001C0BF2" w:rsidRDefault="001C0BF2" w:rsidP="001C0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5553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Розрахунок витрат суб’єктів малого підприємництва, що виникають на виконання вимог регулювання</w:t>
      </w:r>
    </w:p>
    <w:p w14:paraId="3A1ED5F2" w14:textId="77777777" w:rsidR="00932E1E" w:rsidRPr="00C85553" w:rsidRDefault="00932E1E" w:rsidP="001C0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ADA4BB" w14:textId="1786B1AA" w:rsidR="001C0BF2" w:rsidRPr="00932E1E" w:rsidRDefault="001802B6" w:rsidP="00180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2E1E">
        <w:rPr>
          <w:rFonts w:ascii="Times New Roman" w:hAnsi="Times New Roman" w:cs="Times New Roman"/>
          <w:sz w:val="28"/>
          <w:szCs w:val="28"/>
          <w:lang w:val="uk-UA"/>
        </w:rPr>
        <w:t>Таблиця 3.1</w:t>
      </w:r>
    </w:p>
    <w:p w14:paraId="7253E50A" w14:textId="77777777" w:rsidR="001802B6" w:rsidRPr="001C0BF2" w:rsidRDefault="001802B6" w:rsidP="001802B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3334"/>
        <w:gridCol w:w="1860"/>
        <w:gridCol w:w="1860"/>
        <w:gridCol w:w="1862"/>
      </w:tblGrid>
      <w:tr w:rsidR="00AC61F8" w:rsidRPr="000B457C" w14:paraId="1E5F68AB" w14:textId="2484B5C6" w:rsidTr="00AC61F8">
        <w:trPr>
          <w:cantSplit/>
          <w:trHeight w:val="1134"/>
        </w:trPr>
        <w:tc>
          <w:tcPr>
            <w:tcW w:w="230" w:type="pct"/>
            <w:textDirection w:val="btLr"/>
          </w:tcPr>
          <w:p w14:paraId="03956C49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pct"/>
          </w:tcPr>
          <w:p w14:paraId="1667D189" w14:textId="6EAE05FD" w:rsidR="00AC61F8" w:rsidRPr="000B457C" w:rsidRDefault="00AC61F8" w:rsidP="00AC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995" w:type="pct"/>
          </w:tcPr>
          <w:p w14:paraId="27DE4445" w14:textId="3BFC717A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перший рік (стартовий рік впровадження регулювання) </w:t>
            </w:r>
          </w:p>
        </w:tc>
        <w:tc>
          <w:tcPr>
            <w:tcW w:w="995" w:type="pct"/>
          </w:tcPr>
          <w:p w14:paraId="14EDDA32" w14:textId="6DCF5A6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Періодичні (за наступ</w:t>
            </w:r>
            <w:r w:rsidR="00932E1E"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рік)</w:t>
            </w:r>
          </w:p>
        </w:tc>
        <w:tc>
          <w:tcPr>
            <w:tcW w:w="996" w:type="pct"/>
          </w:tcPr>
          <w:p w14:paraId="03D85C73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Витрати за 5 років</w:t>
            </w:r>
          </w:p>
        </w:tc>
      </w:tr>
      <w:tr w:rsidR="00AC61F8" w:rsidRPr="000B457C" w14:paraId="3F9CE2D8" w14:textId="79C36A05" w:rsidTr="00AC61F8">
        <w:trPr>
          <w:cantSplit/>
          <w:trHeight w:val="1134"/>
        </w:trPr>
        <w:tc>
          <w:tcPr>
            <w:tcW w:w="230" w:type="pct"/>
          </w:tcPr>
          <w:p w14:paraId="4D3F2723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pct"/>
          </w:tcPr>
          <w:p w14:paraId="0ACD3A57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необхідного обладнання (пристроїв, машин, механізмів)</w:t>
            </w:r>
          </w:p>
          <w:p w14:paraId="7E43E029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Формула:</w:t>
            </w:r>
          </w:p>
          <w:p w14:paraId="0CFB8CD1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Кількість необхідних одиниць обладнання Х вартість одиниці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5" w:type="pct"/>
          </w:tcPr>
          <w:p w14:paraId="2955F496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194DCFB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26EE75C2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25284E86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16592341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74AA2D68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AC61F8" w:rsidRPr="000B457C" w14:paraId="7569CB47" w14:textId="6F05EDF1" w:rsidTr="000B457C">
        <w:trPr>
          <w:cantSplit/>
          <w:trHeight w:val="705"/>
        </w:trPr>
        <w:tc>
          <w:tcPr>
            <w:tcW w:w="230" w:type="pct"/>
          </w:tcPr>
          <w:p w14:paraId="00B76040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pct"/>
          </w:tcPr>
          <w:p w14:paraId="15F41A52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50A26F91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Формула:</w:t>
            </w:r>
          </w:p>
          <w:p w14:paraId="029EE05D" w14:textId="0506F8AB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Прямі витрати на </w:t>
            </w:r>
            <w:proofErr w:type="spellStart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процеду</w:t>
            </w:r>
            <w:r w:rsid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-</w:t>
            </w: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ри</w:t>
            </w:r>
            <w:proofErr w:type="spellEnd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повірки (проведення первинного обстеження) в органі державної влади + витрати часу на процедуру обліку (на одиницю </w:t>
            </w:r>
            <w:proofErr w:type="spellStart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облад</w:t>
            </w:r>
            <w:r w:rsid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-</w:t>
            </w: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нання</w:t>
            </w:r>
            <w:proofErr w:type="spellEnd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) Х вартість часу суб’єкта малого </w:t>
            </w:r>
            <w:proofErr w:type="spellStart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підприєм</w:t>
            </w:r>
            <w:r w:rsid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-</w:t>
            </w: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ництва</w:t>
            </w:r>
            <w:proofErr w:type="spellEnd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(заробітна плата) Х оціночна кількість процедури обліку за рік) Х кількість необхідних оди</w:t>
            </w:r>
            <w:r w:rsid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-</w:t>
            </w: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ниць обладнання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одному суб’єкту малого </w:t>
            </w:r>
            <w:proofErr w:type="spellStart"/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підприєм</w:t>
            </w:r>
            <w:r w:rsid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-</w:t>
            </w: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ництва</w:t>
            </w:r>
            <w:proofErr w:type="spellEnd"/>
          </w:p>
        </w:tc>
        <w:tc>
          <w:tcPr>
            <w:tcW w:w="995" w:type="pct"/>
          </w:tcPr>
          <w:p w14:paraId="241200F1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1BAD705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57D7D7DF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0E8165EC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152FD565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71A422E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AC61F8" w:rsidRPr="000B457C" w14:paraId="00FF460D" w14:textId="251A79FF" w:rsidTr="00AC61F8">
        <w:trPr>
          <w:cantSplit/>
          <w:trHeight w:val="1134"/>
        </w:trPr>
        <w:tc>
          <w:tcPr>
            <w:tcW w:w="230" w:type="pct"/>
          </w:tcPr>
          <w:p w14:paraId="76A86A8F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784" w:type="pct"/>
          </w:tcPr>
          <w:p w14:paraId="360CF53F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  <w:p w14:paraId="2A29511F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Формула:</w:t>
            </w:r>
          </w:p>
          <w:p w14:paraId="0E19E6EF" w14:textId="77777777" w:rsidR="00AC61F8" w:rsidRPr="000B457C" w:rsidRDefault="00AC61F8" w:rsidP="001C0B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 </w:t>
            </w:r>
          </w:p>
        </w:tc>
        <w:tc>
          <w:tcPr>
            <w:tcW w:w="995" w:type="pct"/>
          </w:tcPr>
          <w:p w14:paraId="12BD1C0B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7BE994D4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4AFF8A1E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4862798A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04DD7868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3F60D605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AC61F8" w:rsidRPr="000B457C" w14:paraId="27EADA1F" w14:textId="03AB9C32" w:rsidTr="00AC61F8">
        <w:trPr>
          <w:cantSplit/>
          <w:trHeight w:val="1134"/>
        </w:trPr>
        <w:tc>
          <w:tcPr>
            <w:tcW w:w="230" w:type="pct"/>
          </w:tcPr>
          <w:p w14:paraId="5C2F1818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pct"/>
          </w:tcPr>
          <w:p w14:paraId="15BC337A" w14:textId="7FED13E2" w:rsidR="00AC61F8" w:rsidRPr="000B457C" w:rsidRDefault="00AC61F8" w:rsidP="001C0B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Процедури обслуговування обладнання (технічне обслуговування)</w:t>
            </w:r>
            <w:r w:rsidRPr="000B457C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  <w:p w14:paraId="700F9DB1" w14:textId="77777777" w:rsidR="00AC61F8" w:rsidRPr="000B457C" w:rsidRDefault="00AC61F8" w:rsidP="001C0B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22D58240" w14:textId="1FE37AC9" w:rsidR="00AC61F8" w:rsidRPr="000B457C" w:rsidRDefault="00AC61F8" w:rsidP="00E917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оцінка вартості процедури обслуговування обладнання (на одиницю обладнання) Х кількість процедур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техніч</w:t>
            </w:r>
            <w:proofErr w:type="spellEnd"/>
            <w:r w:rsid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ного обслуговування на рік на одиницю обладнання Х кількість необхідних оди</w:t>
            </w:r>
            <w:r w:rsid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ниць обладнання одному суб'єкту малого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підприєм</w:t>
            </w:r>
            <w:r w:rsid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ництва</w:t>
            </w:r>
            <w:proofErr w:type="spellEnd"/>
          </w:p>
        </w:tc>
        <w:tc>
          <w:tcPr>
            <w:tcW w:w="995" w:type="pct"/>
          </w:tcPr>
          <w:p w14:paraId="73F29A9A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3D21FF7B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5C52DD23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71FA5E2E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2CFBFC14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5A025E5C" w14:textId="77777777" w:rsidR="00AC61F8" w:rsidRPr="000B457C" w:rsidRDefault="00AC61F8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AC61F8" w:rsidRPr="000B457C" w14:paraId="6D5F38CB" w14:textId="6A3FFC03" w:rsidTr="00AC61F8">
        <w:trPr>
          <w:cantSplit/>
          <w:trHeight w:val="1134"/>
        </w:trPr>
        <w:tc>
          <w:tcPr>
            <w:tcW w:w="230" w:type="pct"/>
          </w:tcPr>
          <w:p w14:paraId="77BEA3E9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pct"/>
          </w:tcPr>
          <w:p w14:paraId="67A31AE0" w14:textId="77777777" w:rsidR="00AC61F8" w:rsidRPr="000B457C" w:rsidRDefault="00AC61F8" w:rsidP="00E917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процедури (уточнити):</w:t>
            </w:r>
          </w:p>
          <w:p w14:paraId="0A7D1DEA" w14:textId="77777777" w:rsidR="00AC61F8" w:rsidRPr="000B457C" w:rsidRDefault="00AC61F8" w:rsidP="00E917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5" w:type="pct"/>
          </w:tcPr>
          <w:p w14:paraId="247836D5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5363DB1E" w14:textId="32DC3CDB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46176F3B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1E002847" w14:textId="0C1303D4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508683E0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16559C70" w14:textId="537E1A7D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AC61F8" w:rsidRPr="000B457C" w14:paraId="7DCF4C8E" w14:textId="1A6CDC65" w:rsidTr="00AC61F8">
        <w:trPr>
          <w:cantSplit/>
          <w:trHeight w:val="1134"/>
        </w:trPr>
        <w:tc>
          <w:tcPr>
            <w:tcW w:w="230" w:type="pct"/>
          </w:tcPr>
          <w:p w14:paraId="7912C837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pct"/>
          </w:tcPr>
          <w:p w14:paraId="6097EB93" w14:textId="77777777" w:rsidR="00AC61F8" w:rsidRPr="000B457C" w:rsidRDefault="00AC61F8" w:rsidP="00E91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Разом, грн.</w:t>
            </w:r>
          </w:p>
          <w:p w14:paraId="3F356183" w14:textId="77777777" w:rsidR="00AC61F8" w:rsidRPr="000B457C" w:rsidRDefault="00AC61F8" w:rsidP="00E91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Формула: </w:t>
            </w:r>
          </w:p>
          <w:p w14:paraId="7DEAA2C5" w14:textId="77777777" w:rsidR="00AC61F8" w:rsidRPr="000B457C" w:rsidRDefault="00AC61F8" w:rsidP="00E91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(Сума рядків 1+2+3+4+5)</w:t>
            </w:r>
          </w:p>
        </w:tc>
        <w:tc>
          <w:tcPr>
            <w:tcW w:w="995" w:type="pct"/>
          </w:tcPr>
          <w:p w14:paraId="2D736B02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3FDD06EA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1D5F1B06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49C6AC0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5FB84315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3AF255B8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AC61F8" w:rsidRPr="000B457C" w14:paraId="04846364" w14:textId="5BCF6FA4" w:rsidTr="00AC61F8">
        <w:trPr>
          <w:cantSplit/>
          <w:trHeight w:val="1134"/>
        </w:trPr>
        <w:tc>
          <w:tcPr>
            <w:tcW w:w="230" w:type="pct"/>
          </w:tcPr>
          <w:p w14:paraId="14B8E630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pct"/>
          </w:tcPr>
          <w:p w14:paraId="146389FE" w14:textId="77777777" w:rsidR="00AC61F8" w:rsidRPr="000B457C" w:rsidRDefault="00AC61F8" w:rsidP="00E91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Кількість суб’єктів господарювання, що мають виконати вимоги регулювання, одиниць </w:t>
            </w:r>
          </w:p>
        </w:tc>
        <w:tc>
          <w:tcPr>
            <w:tcW w:w="995" w:type="pct"/>
          </w:tcPr>
          <w:p w14:paraId="49B1A4D9" w14:textId="368DE9A2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</w:tc>
        <w:tc>
          <w:tcPr>
            <w:tcW w:w="995" w:type="pct"/>
          </w:tcPr>
          <w:p w14:paraId="3F0DEEED" w14:textId="6B08D22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</w:tc>
        <w:tc>
          <w:tcPr>
            <w:tcW w:w="996" w:type="pct"/>
          </w:tcPr>
          <w:p w14:paraId="1493C8A0" w14:textId="75C7019A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</w:tc>
      </w:tr>
      <w:tr w:rsidR="00AC61F8" w:rsidRPr="000B457C" w14:paraId="158D82BD" w14:textId="12193605" w:rsidTr="00AC61F8">
        <w:trPr>
          <w:cantSplit/>
          <w:trHeight w:val="1134"/>
        </w:trPr>
        <w:tc>
          <w:tcPr>
            <w:tcW w:w="230" w:type="pct"/>
          </w:tcPr>
          <w:p w14:paraId="65E5AED2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pct"/>
          </w:tcPr>
          <w:p w14:paraId="377090AC" w14:textId="77777777" w:rsidR="00AC61F8" w:rsidRPr="000B457C" w:rsidRDefault="00AC61F8" w:rsidP="00E91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Сумарно, грн. </w:t>
            </w:r>
          </w:p>
          <w:p w14:paraId="746ADCEA" w14:textId="77777777" w:rsidR="00AC61F8" w:rsidRPr="000B457C" w:rsidRDefault="00AC61F8" w:rsidP="00E9177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0CE86370" w14:textId="598EDF61" w:rsidR="00AC61F8" w:rsidRPr="000B457C" w:rsidRDefault="00AC61F8" w:rsidP="000B45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відповідний стовпчик «ра</w:t>
            </w:r>
            <w:r w:rsid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зом</w:t>
            </w:r>
            <w:proofErr w:type="spellEnd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» Х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95" w:type="pct"/>
          </w:tcPr>
          <w:p w14:paraId="14BF35A0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7C06CC7" w14:textId="0678FBDE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5" w:type="pct"/>
          </w:tcPr>
          <w:p w14:paraId="6A6324B9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D495FB7" w14:textId="7884CC6F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96" w:type="pct"/>
          </w:tcPr>
          <w:p w14:paraId="19A3A880" w14:textId="77777777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4F05334A" w14:textId="3683F8D0" w:rsidR="00AC61F8" w:rsidRPr="000B457C" w:rsidRDefault="00AC61F8" w:rsidP="00E9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</w:tbl>
    <w:p w14:paraId="5B1A220B" w14:textId="1498D8DD" w:rsidR="00AC61F8" w:rsidRDefault="00AC61F8" w:rsidP="001C0B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46C45A18" w14:textId="4C1E48C9" w:rsidR="00AC61F8" w:rsidRDefault="00AC61F8" w:rsidP="00AC6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61F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3.2.</w:t>
      </w:r>
    </w:p>
    <w:p w14:paraId="40DB12EC" w14:textId="77777777" w:rsidR="00932E1E" w:rsidRPr="00AC61F8" w:rsidRDefault="00932E1E" w:rsidP="00AC6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3400"/>
        <w:gridCol w:w="1841"/>
        <w:gridCol w:w="1843"/>
        <w:gridCol w:w="1841"/>
      </w:tblGrid>
      <w:tr w:rsidR="001C0BF2" w:rsidRPr="000B457C" w14:paraId="33974ECD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  <w:textDirection w:val="btLr"/>
          </w:tcPr>
          <w:p w14:paraId="75C0F00D" w14:textId="77777777" w:rsidR="001C0BF2" w:rsidRPr="000B457C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19" w:type="pct"/>
            <w:shd w:val="clear" w:color="auto" w:fill="auto"/>
          </w:tcPr>
          <w:p w14:paraId="1DFA270D" w14:textId="5FF1334A" w:rsidR="001C0BF2" w:rsidRPr="000B457C" w:rsidRDefault="001C0BF2" w:rsidP="00D167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B457C">
              <w:rPr>
                <w:b/>
                <w:bCs/>
                <w:sz w:val="26"/>
                <w:szCs w:val="26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  <w:tc>
          <w:tcPr>
            <w:tcW w:w="985" w:type="pct"/>
            <w:shd w:val="clear" w:color="auto" w:fill="auto"/>
          </w:tcPr>
          <w:p w14:paraId="20B8F265" w14:textId="24F32632" w:rsidR="001C0BF2" w:rsidRPr="000B457C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перший рік (стартовий рік впровадження регулювання) </w:t>
            </w:r>
          </w:p>
        </w:tc>
        <w:tc>
          <w:tcPr>
            <w:tcW w:w="986" w:type="pct"/>
            <w:shd w:val="clear" w:color="auto" w:fill="auto"/>
          </w:tcPr>
          <w:p w14:paraId="7237C9E8" w14:textId="77777777" w:rsidR="001C0BF2" w:rsidRPr="000B457C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Періодичні</w:t>
            </w:r>
          </w:p>
          <w:p w14:paraId="6149B27B" w14:textId="77777777" w:rsidR="001C0BF2" w:rsidRPr="000B457C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наступний рік)</w:t>
            </w:r>
          </w:p>
        </w:tc>
        <w:tc>
          <w:tcPr>
            <w:tcW w:w="986" w:type="pct"/>
            <w:shd w:val="clear" w:color="auto" w:fill="auto"/>
          </w:tcPr>
          <w:p w14:paraId="6350F36C" w14:textId="77777777" w:rsidR="001C0BF2" w:rsidRPr="000B457C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Витрати за 5 років</w:t>
            </w:r>
          </w:p>
        </w:tc>
      </w:tr>
      <w:tr w:rsidR="001C0BF2" w:rsidRPr="000B457C" w14:paraId="3EC4161A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4EB6DCC6" w14:textId="77777777" w:rsidR="001C0BF2" w:rsidRPr="000B457C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819" w:type="pct"/>
            <w:shd w:val="clear" w:color="auto" w:fill="auto"/>
          </w:tcPr>
          <w:p w14:paraId="58406AA6" w14:textId="77777777" w:rsidR="001C0BF2" w:rsidRPr="000B457C" w:rsidRDefault="001C0BF2" w:rsidP="001C0BF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i w:val="0"/>
                <w:sz w:val="26"/>
                <w:szCs w:val="26"/>
                <w:bdr w:val="none" w:sz="0" w:space="0" w:color="auto" w:frame="1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Процедури отримання первинної інформації про вимоги регулювання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  <w:p w14:paraId="3A485086" w14:textId="77777777" w:rsidR="001C0BF2" w:rsidRPr="000B457C" w:rsidRDefault="001C0BF2" w:rsidP="001C0BF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034605F1" w14:textId="77777777" w:rsidR="001C0BF2" w:rsidRPr="000B457C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Style w:val="a8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  <w:p w14:paraId="305E9930" w14:textId="77777777" w:rsidR="001C0BF2" w:rsidRPr="000B457C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985" w:type="pct"/>
            <w:shd w:val="clear" w:color="auto" w:fill="auto"/>
          </w:tcPr>
          <w:p w14:paraId="14A65E1C" w14:textId="3658F10D" w:rsidR="001C0BF2" w:rsidRPr="003E0FA3" w:rsidRDefault="001C0BF2" w:rsidP="00313F1E">
            <w:pPr>
              <w:pStyle w:val="a3"/>
              <w:shd w:val="clear" w:color="auto" w:fill="FFFFFF"/>
              <w:spacing w:before="0" w:beforeAutospacing="0" w:after="0" w:afterAutospacing="0"/>
              <w:ind w:left="-101" w:right="-105"/>
              <w:rPr>
                <w:b/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 xml:space="preserve">1 год. (час, який витрачається суб’єктами на пошук </w:t>
            </w:r>
            <w:proofErr w:type="spellStart"/>
            <w:r w:rsidRPr="000B457C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0B457C">
              <w:rPr>
                <w:sz w:val="26"/>
                <w:szCs w:val="26"/>
                <w:lang w:val="uk-UA"/>
              </w:rPr>
              <w:t xml:space="preserve"> в мережі Інтернет; за результатами консультацій) Х 3</w:t>
            </w:r>
            <w:r w:rsidR="00B95E24">
              <w:rPr>
                <w:sz w:val="26"/>
                <w:szCs w:val="26"/>
                <w:lang w:val="uk-UA"/>
              </w:rPr>
              <w:t>9</w:t>
            </w:r>
            <w:r w:rsidRPr="000B457C">
              <w:rPr>
                <w:sz w:val="26"/>
                <w:szCs w:val="26"/>
                <w:lang w:val="uk-UA"/>
              </w:rPr>
              <w:t>,1</w:t>
            </w:r>
            <w:r w:rsidR="000F4EE9">
              <w:rPr>
                <w:sz w:val="26"/>
                <w:szCs w:val="26"/>
                <w:lang w:val="uk-UA"/>
              </w:rPr>
              <w:t>2</w:t>
            </w:r>
            <w:r w:rsidRPr="000B457C">
              <w:rPr>
                <w:sz w:val="26"/>
                <w:szCs w:val="26"/>
                <w:lang w:val="uk-UA"/>
              </w:rPr>
              <w:t xml:space="preserve"> грн. (вартість 1 години роботи виходячи з мінімальної заробітної плати станом на 01.</w:t>
            </w:r>
            <w:r w:rsidR="00B95E24">
              <w:rPr>
                <w:sz w:val="26"/>
                <w:szCs w:val="26"/>
                <w:lang w:val="uk-UA"/>
              </w:rPr>
              <w:t>12</w:t>
            </w:r>
            <w:r w:rsidRPr="000B457C">
              <w:rPr>
                <w:sz w:val="26"/>
                <w:szCs w:val="26"/>
                <w:lang w:val="uk-UA"/>
              </w:rPr>
              <w:t>.2021)</w:t>
            </w:r>
            <w:r w:rsidR="0055439A">
              <w:rPr>
                <w:sz w:val="26"/>
                <w:szCs w:val="26"/>
                <w:lang w:val="uk-UA"/>
              </w:rPr>
              <w:t xml:space="preserve"> </w:t>
            </w:r>
            <w:r w:rsidRPr="000B457C">
              <w:rPr>
                <w:sz w:val="26"/>
                <w:szCs w:val="26"/>
                <w:lang w:val="uk-UA"/>
              </w:rPr>
              <w:t xml:space="preserve">Х 1 акт (кількість нормативно-правових актів, з якими </w:t>
            </w:r>
            <w:proofErr w:type="spellStart"/>
            <w:r w:rsidRPr="000B457C">
              <w:rPr>
                <w:sz w:val="26"/>
                <w:szCs w:val="26"/>
                <w:lang w:val="uk-UA"/>
              </w:rPr>
              <w:t>необ</w:t>
            </w:r>
            <w:r w:rsidR="003E0FA3">
              <w:rPr>
                <w:sz w:val="26"/>
                <w:szCs w:val="26"/>
                <w:lang w:val="uk-UA"/>
              </w:rPr>
              <w:t>-</w:t>
            </w:r>
            <w:r w:rsidRPr="000B457C">
              <w:rPr>
                <w:sz w:val="26"/>
                <w:szCs w:val="26"/>
                <w:lang w:val="uk-UA"/>
              </w:rPr>
              <w:t>хідно</w:t>
            </w:r>
            <w:proofErr w:type="spellEnd"/>
            <w:r w:rsidR="00D1670C" w:rsidRPr="000B457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1670C" w:rsidRPr="000B457C">
              <w:rPr>
                <w:sz w:val="26"/>
                <w:szCs w:val="26"/>
                <w:lang w:val="uk-UA"/>
              </w:rPr>
              <w:t>о</w:t>
            </w:r>
            <w:r w:rsidRPr="000B457C">
              <w:rPr>
                <w:sz w:val="26"/>
                <w:szCs w:val="26"/>
                <w:lang w:val="uk-UA"/>
              </w:rPr>
              <w:t>знайо</w:t>
            </w:r>
            <w:proofErr w:type="spellEnd"/>
            <w:r w:rsidR="003E0FA3">
              <w:rPr>
                <w:sz w:val="26"/>
                <w:szCs w:val="26"/>
                <w:lang w:val="uk-UA"/>
              </w:rPr>
              <w:t>-</w:t>
            </w:r>
            <w:r w:rsidRPr="000B457C">
              <w:rPr>
                <w:sz w:val="26"/>
                <w:szCs w:val="26"/>
                <w:lang w:val="uk-UA"/>
              </w:rPr>
              <w:t>митись) = 3</w:t>
            </w:r>
            <w:r w:rsidR="00B95E24">
              <w:rPr>
                <w:sz w:val="26"/>
                <w:szCs w:val="26"/>
                <w:lang w:val="uk-UA"/>
              </w:rPr>
              <w:t>9</w:t>
            </w:r>
            <w:r w:rsidRPr="000B457C">
              <w:rPr>
                <w:sz w:val="26"/>
                <w:szCs w:val="26"/>
                <w:lang w:val="uk-UA"/>
              </w:rPr>
              <w:t>,1</w:t>
            </w:r>
            <w:r w:rsidR="000F4EE9">
              <w:rPr>
                <w:sz w:val="26"/>
                <w:szCs w:val="26"/>
                <w:lang w:val="uk-UA"/>
              </w:rPr>
              <w:t>2</w:t>
            </w:r>
            <w:r w:rsidRPr="000B457C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986" w:type="pct"/>
            <w:shd w:val="clear" w:color="auto" w:fill="auto"/>
          </w:tcPr>
          <w:p w14:paraId="4D751E4E" w14:textId="46C078A8" w:rsidR="001C0BF2" w:rsidRPr="000B457C" w:rsidRDefault="001C0BF2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3</w:t>
            </w:r>
            <w:r w:rsidR="00B95E24">
              <w:rPr>
                <w:sz w:val="26"/>
                <w:szCs w:val="26"/>
                <w:lang w:val="uk-UA"/>
              </w:rPr>
              <w:t>9</w:t>
            </w:r>
            <w:r w:rsidRPr="000B457C">
              <w:rPr>
                <w:sz w:val="26"/>
                <w:szCs w:val="26"/>
                <w:lang w:val="uk-UA"/>
              </w:rPr>
              <w:t>,1</w:t>
            </w:r>
            <w:r w:rsidR="000F4EE9">
              <w:rPr>
                <w:sz w:val="26"/>
                <w:szCs w:val="26"/>
                <w:lang w:val="uk-UA"/>
              </w:rPr>
              <w:t>2</w:t>
            </w:r>
            <w:r w:rsidRPr="000B457C">
              <w:rPr>
                <w:sz w:val="26"/>
                <w:szCs w:val="26"/>
                <w:lang w:val="uk-UA"/>
              </w:rPr>
              <w:t xml:space="preserve"> грн.</w:t>
            </w:r>
          </w:p>
          <w:p w14:paraId="211870C7" w14:textId="77777777" w:rsidR="001C0BF2" w:rsidRPr="000B457C" w:rsidRDefault="001C0BF2" w:rsidP="001C0B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14:paraId="41AB3EFC" w14:textId="77777777" w:rsidR="001C0BF2" w:rsidRPr="000B457C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619C2854" w14:textId="6C5981E6" w:rsidR="001C0BF2" w:rsidRPr="000B457C" w:rsidRDefault="00B95E24" w:rsidP="000F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195</w:t>
            </w:r>
            <w:r w:rsidR="001C0BF2" w:rsidRPr="000B45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,</w:t>
            </w:r>
            <w:r w:rsidR="000F4E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60</w:t>
            </w:r>
            <w:r w:rsidR="001C0BF2" w:rsidRPr="000B45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грн.</w:t>
            </w:r>
          </w:p>
        </w:tc>
      </w:tr>
      <w:tr w:rsidR="00E0717C" w:rsidRPr="000B457C" w14:paraId="01C33974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0390B964" w14:textId="77777777" w:rsidR="00E0717C" w:rsidRPr="00313F1E" w:rsidRDefault="00E0717C" w:rsidP="003E0FA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3F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819" w:type="pct"/>
            <w:shd w:val="clear" w:color="auto" w:fill="auto"/>
          </w:tcPr>
          <w:p w14:paraId="6224F1EA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 xml:space="preserve">Процедури організації виконання вимог регулювання, а саме, підготовка та оформлення необхідних документів </w:t>
            </w:r>
          </w:p>
          <w:p w14:paraId="3E618DE0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71353673" w14:textId="45EEFBE6" w:rsidR="00E0717C" w:rsidRPr="003E0FA3" w:rsidRDefault="00E0717C" w:rsidP="00313F1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bdr w:val="none" w:sz="0" w:space="0" w:color="auto" w:frame="1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витрати часу на розроблення та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впровад</w:t>
            </w:r>
            <w:r w:rsidR="00313F1E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ження</w:t>
            </w:r>
            <w:proofErr w:type="spellEnd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 внутрішніх для суб'єкта малого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підприєм</w:t>
            </w:r>
            <w:r w:rsidR="003E0FA3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ництва</w:t>
            </w:r>
            <w:proofErr w:type="spellEnd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 процедур на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впро</w:t>
            </w:r>
            <w:r w:rsidR="003E0FA3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вадження</w:t>
            </w:r>
            <w:proofErr w:type="spellEnd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 вимог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регулюван</w:t>
            </w:r>
            <w:proofErr w:type="spellEnd"/>
            <w:r w:rsidR="003E0FA3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ня Х вартість часу суб'єкта малого підприємництва (за</w:t>
            </w:r>
            <w:r w:rsidR="003E0FA3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робітна плата) Х оціночна кількість внутрішніх процедур</w:t>
            </w:r>
          </w:p>
        </w:tc>
        <w:tc>
          <w:tcPr>
            <w:tcW w:w="985" w:type="pct"/>
            <w:shd w:val="clear" w:color="auto" w:fill="auto"/>
          </w:tcPr>
          <w:p w14:paraId="4CACDDBD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7ADD5271" w14:textId="1EC38649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86" w:type="pct"/>
            <w:shd w:val="clear" w:color="auto" w:fill="auto"/>
          </w:tcPr>
          <w:p w14:paraId="4E036434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6E9DC85D" w14:textId="7327F5E1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86" w:type="pct"/>
            <w:shd w:val="clear" w:color="auto" w:fill="auto"/>
          </w:tcPr>
          <w:p w14:paraId="5F10B485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361C966A" w14:textId="1EEA2EDB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E0717C" w:rsidRPr="000B457C" w14:paraId="39B98813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397FBB8E" w14:textId="77777777" w:rsidR="00E0717C" w:rsidRPr="000B457C" w:rsidRDefault="00E0717C" w:rsidP="00313F1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819" w:type="pct"/>
            <w:shd w:val="clear" w:color="auto" w:fill="auto"/>
          </w:tcPr>
          <w:p w14:paraId="744B1B10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Процедури офіційного звітування</w:t>
            </w:r>
          </w:p>
          <w:p w14:paraId="20B9204E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6"/>
                <w:szCs w:val="26"/>
                <w:bdr w:val="none" w:sz="0" w:space="0" w:color="auto" w:frame="1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515AAF9C" w14:textId="4BA5E87D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85" w:type="pct"/>
            <w:shd w:val="clear" w:color="auto" w:fill="auto"/>
          </w:tcPr>
          <w:p w14:paraId="1F0FD05C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</w:t>
            </w:r>
          </w:p>
          <w:p w14:paraId="3CB92759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  <w:p w14:paraId="26275794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4E577EDD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 (витрати відсутні)</w:t>
            </w:r>
          </w:p>
          <w:p w14:paraId="0DAAC3AC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6B2159B9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  <w:p w14:paraId="797C0FE8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  <w:p w14:paraId="277B214E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17C" w:rsidRPr="000B457C" w14:paraId="758ACF62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1DA61978" w14:textId="77777777" w:rsidR="00E0717C" w:rsidRPr="000B457C" w:rsidRDefault="00E0717C" w:rsidP="00313F1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819" w:type="pct"/>
            <w:shd w:val="clear" w:color="auto" w:fill="auto"/>
          </w:tcPr>
          <w:p w14:paraId="082BDEE6" w14:textId="77777777" w:rsidR="00E0717C" w:rsidRPr="000B457C" w:rsidRDefault="00E0717C" w:rsidP="00E0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Процедури по забезпеченню процесу перевірок </w:t>
            </w:r>
          </w:p>
          <w:p w14:paraId="1612C9EA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681FCD7E" w14:textId="57329C60" w:rsidR="00E0717C" w:rsidRPr="00832AC1" w:rsidRDefault="00E0717C" w:rsidP="00832AC1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bdr w:val="none" w:sz="0" w:space="0" w:color="auto" w:frame="1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  <w:r w:rsidRPr="000B457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14:paraId="271B422D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</w:t>
            </w:r>
          </w:p>
          <w:p w14:paraId="5BC6854C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  <w:p w14:paraId="69F4A35A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692B9F5D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 грн.</w:t>
            </w:r>
          </w:p>
          <w:p w14:paraId="498DB3A9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  <w:p w14:paraId="5C32446B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0F77978A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</w:t>
            </w:r>
          </w:p>
          <w:p w14:paraId="79FD345D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  <w:p w14:paraId="01CECC93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17C" w:rsidRPr="000B457C" w14:paraId="516EDE68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6942D458" w14:textId="77777777" w:rsidR="00E0717C" w:rsidRPr="000B457C" w:rsidRDefault="00E0717C" w:rsidP="00313F1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819" w:type="pct"/>
            <w:shd w:val="clear" w:color="auto" w:fill="auto"/>
          </w:tcPr>
          <w:p w14:paraId="43D91A8C" w14:textId="77777777" w:rsidR="00E0717C" w:rsidRPr="000B457C" w:rsidRDefault="00E0717C" w:rsidP="00E0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процедури (уточнити)</w:t>
            </w:r>
          </w:p>
          <w:p w14:paraId="7ADC39E2" w14:textId="77777777" w:rsidR="00E0717C" w:rsidRPr="000B457C" w:rsidRDefault="00E0717C" w:rsidP="00E0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5" w:type="pct"/>
            <w:shd w:val="clear" w:color="auto" w:fill="auto"/>
          </w:tcPr>
          <w:p w14:paraId="6DA588D0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</w:t>
            </w:r>
          </w:p>
          <w:p w14:paraId="4948C25E" w14:textId="36D4E68B" w:rsidR="00E0717C" w:rsidRPr="000B457C" w:rsidRDefault="00E0717C" w:rsidP="00832A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86" w:type="pct"/>
            <w:shd w:val="clear" w:color="auto" w:fill="auto"/>
          </w:tcPr>
          <w:p w14:paraId="07557981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</w:t>
            </w:r>
          </w:p>
          <w:p w14:paraId="5A49A52E" w14:textId="209D21E3" w:rsidR="00E0717C" w:rsidRPr="000B457C" w:rsidRDefault="00E0717C" w:rsidP="00832A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</w:tc>
        <w:tc>
          <w:tcPr>
            <w:tcW w:w="986" w:type="pct"/>
            <w:shd w:val="clear" w:color="auto" w:fill="auto"/>
          </w:tcPr>
          <w:p w14:paraId="5652CC06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0,00</w:t>
            </w:r>
          </w:p>
          <w:p w14:paraId="1413AA09" w14:textId="4729CE91" w:rsidR="00E0717C" w:rsidRPr="000B457C" w:rsidRDefault="00E0717C" w:rsidP="00832A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0B457C">
              <w:rPr>
                <w:sz w:val="26"/>
                <w:szCs w:val="26"/>
                <w:lang w:val="uk-UA"/>
              </w:rPr>
              <w:t>(витрати відсутні)</w:t>
            </w:r>
          </w:p>
        </w:tc>
      </w:tr>
      <w:tr w:rsidR="00E0717C" w:rsidRPr="000B457C" w14:paraId="15E87F8C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25570C08" w14:textId="77777777" w:rsidR="00E0717C" w:rsidRPr="000B457C" w:rsidRDefault="00E0717C" w:rsidP="00313F1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1819" w:type="pct"/>
            <w:shd w:val="clear" w:color="auto" w:fill="auto"/>
          </w:tcPr>
          <w:p w14:paraId="177556FD" w14:textId="77777777" w:rsidR="00E0717C" w:rsidRPr="000B457C" w:rsidRDefault="00E0717C" w:rsidP="00E07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Разом, грн.</w:t>
            </w:r>
          </w:p>
          <w:p w14:paraId="39A9C5C1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40CC492E" w14:textId="1DDA3511" w:rsidR="00E0717C" w:rsidRPr="00832AC1" w:rsidRDefault="00E0717C" w:rsidP="00832A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(сума рядків 9 + 10 + 11 + 12 + 13)</w:t>
            </w:r>
          </w:p>
        </w:tc>
        <w:tc>
          <w:tcPr>
            <w:tcW w:w="985" w:type="pct"/>
            <w:shd w:val="clear" w:color="auto" w:fill="auto"/>
          </w:tcPr>
          <w:p w14:paraId="78204100" w14:textId="6C6A4A16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  <w:r w:rsidR="00CA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9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,1</w:t>
            </w:r>
            <w:r w:rsidR="000F4E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986" w:type="pct"/>
            <w:shd w:val="clear" w:color="auto" w:fill="auto"/>
          </w:tcPr>
          <w:p w14:paraId="3C9C956A" w14:textId="2710C080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CA46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,1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86" w:type="pct"/>
            <w:shd w:val="clear" w:color="auto" w:fill="auto"/>
          </w:tcPr>
          <w:p w14:paraId="5E1CE776" w14:textId="0C88572A" w:rsidR="00E0717C" w:rsidRPr="000F4EE9" w:rsidRDefault="000F4EE9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</w:tr>
      <w:tr w:rsidR="00E0717C" w:rsidRPr="000B457C" w14:paraId="7D60FD52" w14:textId="77777777" w:rsidTr="00BA7E96">
        <w:trPr>
          <w:cantSplit/>
          <w:trHeight w:val="1364"/>
        </w:trPr>
        <w:tc>
          <w:tcPr>
            <w:tcW w:w="225" w:type="pct"/>
            <w:shd w:val="clear" w:color="auto" w:fill="auto"/>
          </w:tcPr>
          <w:p w14:paraId="1371E3FF" w14:textId="77777777" w:rsidR="00E0717C" w:rsidRPr="000B457C" w:rsidRDefault="00E0717C" w:rsidP="00313F1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819" w:type="pct"/>
            <w:shd w:val="clear" w:color="auto" w:fill="auto"/>
          </w:tcPr>
          <w:p w14:paraId="134461B7" w14:textId="77777777" w:rsidR="00E0717C" w:rsidRPr="000B457C" w:rsidRDefault="00E0717C" w:rsidP="00E0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Кількість суб’єктів малого підприємництва, що мають виконати вимоги регулювання, одиниць</w:t>
            </w:r>
          </w:p>
        </w:tc>
        <w:tc>
          <w:tcPr>
            <w:tcW w:w="985" w:type="pct"/>
            <w:shd w:val="clear" w:color="auto" w:fill="auto"/>
          </w:tcPr>
          <w:p w14:paraId="4165662C" w14:textId="69549F3D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CA46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293</w:t>
            </w:r>
          </w:p>
        </w:tc>
        <w:tc>
          <w:tcPr>
            <w:tcW w:w="986" w:type="pct"/>
            <w:shd w:val="clear" w:color="auto" w:fill="auto"/>
          </w:tcPr>
          <w:p w14:paraId="6A0D84C4" w14:textId="78EC0549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CA46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293</w:t>
            </w:r>
          </w:p>
        </w:tc>
        <w:tc>
          <w:tcPr>
            <w:tcW w:w="986" w:type="pct"/>
            <w:shd w:val="clear" w:color="auto" w:fill="auto"/>
          </w:tcPr>
          <w:p w14:paraId="23AB4ACA" w14:textId="278B78BE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CA46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293</w:t>
            </w:r>
          </w:p>
        </w:tc>
      </w:tr>
      <w:tr w:rsidR="00E0717C" w:rsidRPr="000B457C" w14:paraId="3BDBC01E" w14:textId="77777777" w:rsidTr="000B457C">
        <w:trPr>
          <w:cantSplit/>
          <w:trHeight w:val="1134"/>
        </w:trPr>
        <w:tc>
          <w:tcPr>
            <w:tcW w:w="225" w:type="pct"/>
            <w:shd w:val="clear" w:color="auto" w:fill="auto"/>
          </w:tcPr>
          <w:p w14:paraId="0CE3401B" w14:textId="77777777" w:rsidR="00E0717C" w:rsidRPr="000B457C" w:rsidRDefault="00E0717C" w:rsidP="00313F1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819" w:type="pct"/>
            <w:shd w:val="clear" w:color="auto" w:fill="auto"/>
          </w:tcPr>
          <w:p w14:paraId="051F1578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B457C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Сумарно, грн. </w:t>
            </w:r>
          </w:p>
          <w:p w14:paraId="14873EEA" w14:textId="77777777" w:rsidR="00E0717C" w:rsidRPr="000B457C" w:rsidRDefault="00E0717C" w:rsidP="00E071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Формула:</w:t>
            </w:r>
          </w:p>
          <w:p w14:paraId="4CA0FC0B" w14:textId="29E666FF" w:rsidR="00E0717C" w:rsidRPr="00832AC1" w:rsidRDefault="00E0717C" w:rsidP="00832AC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val="uk-UA"/>
              </w:rPr>
            </w:pP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відповідний стовпчик «разом» Х кількість </w:t>
            </w:r>
            <w:proofErr w:type="spellStart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суб’єк</w:t>
            </w:r>
            <w:r w:rsidR="00832AC1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-</w:t>
            </w:r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>тів</w:t>
            </w:r>
            <w:proofErr w:type="spellEnd"/>
            <w:r w:rsidRPr="000B457C">
              <w:rPr>
                <w:rStyle w:val="a8"/>
                <w:sz w:val="26"/>
                <w:szCs w:val="26"/>
                <w:bdr w:val="none" w:sz="0" w:space="0" w:color="auto" w:frame="1"/>
                <w:lang w:val="uk-UA"/>
              </w:rPr>
              <w:t xml:space="preserve"> малого підприємництва, що повинні виконати вимоги регулювання (рядок 14 Х рядок 15)</w:t>
            </w:r>
          </w:p>
        </w:tc>
        <w:tc>
          <w:tcPr>
            <w:tcW w:w="985" w:type="pct"/>
            <w:shd w:val="clear" w:color="auto" w:fill="auto"/>
          </w:tcPr>
          <w:p w14:paraId="56F21D84" w14:textId="62CBD771" w:rsidR="00E0717C" w:rsidRPr="00BA7E96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A7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14:paraId="216343E5" w14:textId="77777777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4CB70340" w14:textId="77777777" w:rsidR="000F4EE9" w:rsidRPr="00BA7E96" w:rsidRDefault="000F4EE9" w:rsidP="000F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14:paraId="78307417" w14:textId="4B5E5813" w:rsidR="00E0717C" w:rsidRPr="000B457C" w:rsidRDefault="00E0717C" w:rsidP="00E0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6" w:type="pct"/>
            <w:shd w:val="clear" w:color="auto" w:fill="auto"/>
          </w:tcPr>
          <w:p w14:paraId="10B99D7F" w14:textId="402BEDC8" w:rsidR="00E0717C" w:rsidRPr="00BA7E96" w:rsidRDefault="00BA7E96" w:rsidP="000F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C9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5 310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</w:tbl>
    <w:p w14:paraId="774B63AD" w14:textId="77777777" w:rsidR="001C0BF2" w:rsidRPr="001C0BF2" w:rsidRDefault="001C0BF2" w:rsidP="0097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6E4F7C67" w14:textId="400BC75F" w:rsidR="001C0BF2" w:rsidRPr="00C85553" w:rsidRDefault="001C0BF2" w:rsidP="00975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55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Бю</w:t>
      </w:r>
      <w:r w:rsidR="00975DA6" w:rsidRPr="00C855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джетних витрат</w:t>
      </w:r>
      <w:r w:rsidRPr="00C855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адміністрування регулювання суб’єктів середнього і малого підприємництва</w:t>
      </w:r>
      <w:r w:rsidR="00975DA6" w:rsidRPr="00C855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передбачається.</w:t>
      </w:r>
    </w:p>
    <w:p w14:paraId="7A646178" w14:textId="77777777" w:rsidR="001C0BF2" w:rsidRPr="00C85553" w:rsidRDefault="001C0BF2" w:rsidP="001C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3D6124A" w14:textId="77777777" w:rsidR="001C0BF2" w:rsidRPr="00C85553" w:rsidRDefault="001C0BF2" w:rsidP="001C0B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5553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66886032" w14:textId="77777777" w:rsidR="001C0BF2" w:rsidRPr="001C0BF2" w:rsidRDefault="001C0BF2" w:rsidP="001C0BF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5528"/>
        <w:gridCol w:w="1672"/>
        <w:gridCol w:w="1588"/>
      </w:tblGrid>
      <w:tr w:rsidR="001C0BF2" w:rsidRPr="00BA7E96" w14:paraId="0E489DA3" w14:textId="77777777" w:rsidTr="00BA7E96">
        <w:tc>
          <w:tcPr>
            <w:tcW w:w="419" w:type="dxa"/>
          </w:tcPr>
          <w:p w14:paraId="18DF4AAA" w14:textId="77777777" w:rsidR="001C0BF2" w:rsidRPr="00BA7E96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5528" w:type="dxa"/>
          </w:tcPr>
          <w:p w14:paraId="49400FD5" w14:textId="20DF8292" w:rsidR="001C0BF2" w:rsidRPr="00BA7E96" w:rsidRDefault="001C0BF2" w:rsidP="00B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Показник</w:t>
            </w:r>
          </w:p>
          <w:p w14:paraId="39AC416F" w14:textId="77777777" w:rsidR="001C0BF2" w:rsidRPr="00BA7E96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</w:tcPr>
          <w:p w14:paraId="20571E1C" w14:textId="77777777" w:rsidR="001C0BF2" w:rsidRPr="00BA7E96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рік регулювання (стартовий), гривень</w:t>
            </w:r>
          </w:p>
        </w:tc>
        <w:tc>
          <w:tcPr>
            <w:tcW w:w="1588" w:type="dxa"/>
          </w:tcPr>
          <w:p w14:paraId="492AE965" w14:textId="77777777" w:rsidR="001C0BF2" w:rsidRPr="00BA7E96" w:rsidRDefault="001C0BF2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5 років</w:t>
            </w:r>
          </w:p>
        </w:tc>
      </w:tr>
      <w:tr w:rsidR="001C0BF2" w:rsidRPr="00BA7E96" w14:paraId="0AE3C8C8" w14:textId="77777777" w:rsidTr="00BA7E96">
        <w:tc>
          <w:tcPr>
            <w:tcW w:w="419" w:type="dxa"/>
          </w:tcPr>
          <w:p w14:paraId="12D436CE" w14:textId="77777777" w:rsidR="001C0BF2" w:rsidRPr="00BA7E96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28" w:type="dxa"/>
          </w:tcPr>
          <w:p w14:paraId="72474656" w14:textId="77777777" w:rsidR="001C0BF2" w:rsidRPr="00BA7E96" w:rsidRDefault="001C0BF2" w:rsidP="00C97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672" w:type="dxa"/>
          </w:tcPr>
          <w:p w14:paraId="336258B7" w14:textId="704DF648" w:rsidR="001C0BF2" w:rsidRPr="00BA7E96" w:rsidRDefault="00E0717C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88" w:type="dxa"/>
          </w:tcPr>
          <w:p w14:paraId="5EF2278A" w14:textId="79EE262F" w:rsidR="001C0BF2" w:rsidRPr="00BA7E96" w:rsidRDefault="00E0717C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F4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C0BF2" w:rsidRPr="00BA7E96" w14:paraId="332A4375" w14:textId="77777777" w:rsidTr="00BA7E96">
        <w:tc>
          <w:tcPr>
            <w:tcW w:w="419" w:type="dxa"/>
          </w:tcPr>
          <w:p w14:paraId="5F9A467E" w14:textId="77777777" w:rsidR="001C0BF2" w:rsidRPr="00BA7E96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28" w:type="dxa"/>
          </w:tcPr>
          <w:p w14:paraId="3C8F4590" w14:textId="77777777" w:rsidR="001C0BF2" w:rsidRPr="00BA7E96" w:rsidRDefault="001C0BF2" w:rsidP="00C97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672" w:type="dxa"/>
          </w:tcPr>
          <w:p w14:paraId="0C26EA68" w14:textId="77777777" w:rsidR="000F4EE9" w:rsidRPr="00BA7E96" w:rsidRDefault="000F4EE9" w:rsidP="000F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14:paraId="5DB06B5C" w14:textId="77777777" w:rsidR="001C0BF2" w:rsidRPr="00BA7E96" w:rsidRDefault="001C0BF2" w:rsidP="00832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14:paraId="0D6D3F83" w14:textId="02BF51F0" w:rsidR="001C0BF2" w:rsidRPr="00BA7E96" w:rsidRDefault="000F4EE9" w:rsidP="00C97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35 310,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1C0BF2" w:rsidRPr="00BA7E96" w14:paraId="6D266959" w14:textId="77777777" w:rsidTr="00BA7E96">
        <w:tc>
          <w:tcPr>
            <w:tcW w:w="419" w:type="dxa"/>
          </w:tcPr>
          <w:p w14:paraId="776AA230" w14:textId="77777777" w:rsidR="001C0BF2" w:rsidRPr="00BA7E96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528" w:type="dxa"/>
          </w:tcPr>
          <w:p w14:paraId="50DCFE9A" w14:textId="77777777" w:rsidR="001C0BF2" w:rsidRPr="00BA7E96" w:rsidRDefault="001C0BF2" w:rsidP="00C977A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Сумарні витрати малого підприємництва на виконання запланованого  регулювання</w:t>
            </w:r>
          </w:p>
        </w:tc>
        <w:tc>
          <w:tcPr>
            <w:tcW w:w="1672" w:type="dxa"/>
          </w:tcPr>
          <w:p w14:paraId="08360F55" w14:textId="77777777" w:rsidR="000F4EE9" w:rsidRPr="00BA7E96" w:rsidRDefault="000F4EE9" w:rsidP="000F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14:paraId="747DAB88" w14:textId="77777777" w:rsidR="001C0BF2" w:rsidRPr="00BA7E96" w:rsidRDefault="001C0BF2" w:rsidP="0083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14:paraId="3CF3B9A9" w14:textId="44544C98" w:rsidR="001C0BF2" w:rsidRPr="00BA7E96" w:rsidRDefault="000F4EE9" w:rsidP="00C9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35 310,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975DA6" w:rsidRPr="00BA7E96" w14:paraId="1CC27042" w14:textId="77777777" w:rsidTr="00BA7E96">
        <w:tc>
          <w:tcPr>
            <w:tcW w:w="419" w:type="dxa"/>
          </w:tcPr>
          <w:p w14:paraId="58FA5FA7" w14:textId="6A5950F7" w:rsidR="00975DA6" w:rsidRPr="00BA7E96" w:rsidRDefault="00975DA6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528" w:type="dxa"/>
          </w:tcPr>
          <w:p w14:paraId="18347C50" w14:textId="506BCCCE" w:rsidR="00975DA6" w:rsidRPr="00BA7E96" w:rsidRDefault="00975DA6" w:rsidP="00C977A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A7E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672" w:type="dxa"/>
          </w:tcPr>
          <w:p w14:paraId="3091B918" w14:textId="710B38DC" w:rsidR="00975DA6" w:rsidRPr="00BA7E96" w:rsidRDefault="00E0717C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F4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88" w:type="dxa"/>
          </w:tcPr>
          <w:p w14:paraId="617691C0" w14:textId="5691415D" w:rsidR="00975DA6" w:rsidRPr="00BA7E96" w:rsidRDefault="00E0717C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F4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C0BF2" w:rsidRPr="00BA7E96" w14:paraId="6A71BC46" w14:textId="77777777" w:rsidTr="00BA7E96">
        <w:tc>
          <w:tcPr>
            <w:tcW w:w="419" w:type="dxa"/>
          </w:tcPr>
          <w:p w14:paraId="1A793A38" w14:textId="77777777" w:rsidR="001C0BF2" w:rsidRPr="00BA7E96" w:rsidRDefault="001C0BF2" w:rsidP="001C0B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528" w:type="dxa"/>
          </w:tcPr>
          <w:p w14:paraId="37BB23C0" w14:textId="77777777" w:rsidR="001C0BF2" w:rsidRPr="00BA7E96" w:rsidRDefault="001C0BF2" w:rsidP="00C9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A7E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672" w:type="dxa"/>
          </w:tcPr>
          <w:p w14:paraId="6ACFE80F" w14:textId="77777777" w:rsidR="000F4EE9" w:rsidRPr="00BA7E96" w:rsidRDefault="000F4EE9" w:rsidP="000F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  <w:r w:rsidRPr="000B4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14:paraId="21575970" w14:textId="3063FE95" w:rsidR="001C0BF2" w:rsidRPr="00BA7E96" w:rsidRDefault="001C0BF2" w:rsidP="001C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88" w:type="dxa"/>
          </w:tcPr>
          <w:p w14:paraId="2F0EEB9D" w14:textId="250AD4CD" w:rsidR="001C0BF2" w:rsidRPr="00BA7E96" w:rsidRDefault="000F4EE9" w:rsidP="001C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35 310,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</w:tbl>
    <w:p w14:paraId="2850CC42" w14:textId="77777777" w:rsidR="001C0BF2" w:rsidRPr="001C0BF2" w:rsidRDefault="001C0BF2" w:rsidP="001C0B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3EB8B8FF" w14:textId="77777777" w:rsidR="001C0BF2" w:rsidRPr="00832AC1" w:rsidRDefault="001C0BF2" w:rsidP="00E071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32A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5. Розроблення коригуючих (пом’якшувальних) заходів для малого підприємництва щодо запропонованого регулювання відсутнє. </w:t>
      </w:r>
    </w:p>
    <w:p w14:paraId="4F9DF13E" w14:textId="77777777" w:rsidR="001C0BF2" w:rsidRPr="001C0BF2" w:rsidRDefault="001C0BF2" w:rsidP="001C0BF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93CB2DC" w14:textId="77777777" w:rsidR="001C0BF2" w:rsidRPr="001C0BF2" w:rsidRDefault="001C0BF2" w:rsidP="001C0B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195D17" w14:textId="77777777" w:rsidR="00832AC1" w:rsidRDefault="00832AC1" w:rsidP="001C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AC1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14:paraId="28A68BDF" w14:textId="1727000E" w:rsidR="001C0BF2" w:rsidRPr="00832AC1" w:rsidRDefault="00832AC1" w:rsidP="001C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AC1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ГУДЗЬ</w:t>
      </w:r>
    </w:p>
    <w:p w14:paraId="788086C5" w14:textId="45531D87" w:rsidR="009B33CD" w:rsidRPr="001C0BF2" w:rsidRDefault="009B33CD" w:rsidP="001C0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9B33CD" w:rsidRPr="001C0BF2" w:rsidSect="003171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55ED" w14:textId="77777777" w:rsidR="007150B7" w:rsidRDefault="007150B7" w:rsidP="000B457C">
      <w:pPr>
        <w:spacing w:after="0" w:line="240" w:lineRule="auto"/>
      </w:pPr>
      <w:r>
        <w:separator/>
      </w:r>
    </w:p>
  </w:endnote>
  <w:endnote w:type="continuationSeparator" w:id="0">
    <w:p w14:paraId="248DD376" w14:textId="77777777" w:rsidR="007150B7" w:rsidRDefault="007150B7" w:rsidP="000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F8AD" w14:textId="77777777" w:rsidR="007150B7" w:rsidRDefault="007150B7" w:rsidP="000B457C">
      <w:pPr>
        <w:spacing w:after="0" w:line="240" w:lineRule="auto"/>
      </w:pPr>
      <w:r>
        <w:separator/>
      </w:r>
    </w:p>
  </w:footnote>
  <w:footnote w:type="continuationSeparator" w:id="0">
    <w:p w14:paraId="6FE25717" w14:textId="77777777" w:rsidR="007150B7" w:rsidRDefault="007150B7" w:rsidP="000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457" w14:textId="6EE29177" w:rsidR="003961BD" w:rsidRDefault="003961BD">
    <w:pPr>
      <w:pStyle w:val="af1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3A41DD" wp14:editId="1500E3C2">
              <wp:simplePos x="0" y="0"/>
              <wp:positionH relativeFrom="page">
                <wp:posOffset>3860165</wp:posOffset>
              </wp:positionH>
              <wp:positionV relativeFrom="page">
                <wp:posOffset>442595</wp:posOffset>
              </wp:positionV>
              <wp:extent cx="203200" cy="194310"/>
              <wp:effectExtent l="2540" t="4445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D643D" w14:textId="77777777" w:rsidR="003961BD" w:rsidRDefault="003961B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6BF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A41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5pt;margin-top:34.8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" filled="f" stroked="f">
              <v:textbox inset="0,0,0,0">
                <w:txbxContent>
                  <w:p w14:paraId="0FFD643D" w14:textId="77777777" w:rsidR="003961BD" w:rsidRDefault="003961B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6BF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10E"/>
    <w:multiLevelType w:val="multilevel"/>
    <w:tmpl w:val="E82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B26A7"/>
    <w:multiLevelType w:val="hybridMultilevel"/>
    <w:tmpl w:val="1B6E9B74"/>
    <w:lvl w:ilvl="0" w:tplc="0422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A5C1B3C"/>
    <w:multiLevelType w:val="hybridMultilevel"/>
    <w:tmpl w:val="9716A6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4E7"/>
    <w:multiLevelType w:val="hybridMultilevel"/>
    <w:tmpl w:val="0CE649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605F"/>
    <w:multiLevelType w:val="hybridMultilevel"/>
    <w:tmpl w:val="80BAE10A"/>
    <w:lvl w:ilvl="0" w:tplc="0422000D">
      <w:start w:val="1"/>
      <w:numFmt w:val="bullet"/>
      <w:lvlText w:val=""/>
      <w:lvlJc w:val="left"/>
      <w:pPr>
        <w:ind w:left="18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5" w15:restartNumberingAfterBreak="0">
    <w:nsid w:val="253C177B"/>
    <w:multiLevelType w:val="hybridMultilevel"/>
    <w:tmpl w:val="FF586360"/>
    <w:lvl w:ilvl="0" w:tplc="0422000D">
      <w:start w:val="1"/>
      <w:numFmt w:val="bullet"/>
      <w:lvlText w:val=""/>
      <w:lvlJc w:val="left"/>
      <w:pPr>
        <w:ind w:left="18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6" w15:restartNumberingAfterBreak="0">
    <w:nsid w:val="25740358"/>
    <w:multiLevelType w:val="hybridMultilevel"/>
    <w:tmpl w:val="E1FCFD92"/>
    <w:lvl w:ilvl="0" w:tplc="588A2BF2">
      <w:numFmt w:val="bullet"/>
      <w:lvlText w:val="*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uk-UA" w:bidi="uk-UA"/>
      </w:rPr>
    </w:lvl>
    <w:lvl w:ilvl="1" w:tplc="4D681994">
      <w:numFmt w:val="bullet"/>
      <w:lvlText w:val="-"/>
      <w:lvlJc w:val="left"/>
      <w:pPr>
        <w:ind w:left="2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B6D82212">
      <w:numFmt w:val="bullet"/>
      <w:lvlText w:val="•"/>
      <w:lvlJc w:val="left"/>
      <w:pPr>
        <w:ind w:left="2209" w:hanging="272"/>
      </w:pPr>
      <w:rPr>
        <w:rFonts w:hint="default"/>
        <w:lang w:val="uk-UA" w:eastAsia="uk-UA" w:bidi="uk-UA"/>
      </w:rPr>
    </w:lvl>
    <w:lvl w:ilvl="3" w:tplc="4ED225AA">
      <w:numFmt w:val="bullet"/>
      <w:lvlText w:val="•"/>
      <w:lvlJc w:val="left"/>
      <w:pPr>
        <w:ind w:left="3203" w:hanging="272"/>
      </w:pPr>
      <w:rPr>
        <w:rFonts w:hint="default"/>
        <w:lang w:val="uk-UA" w:eastAsia="uk-UA" w:bidi="uk-UA"/>
      </w:rPr>
    </w:lvl>
    <w:lvl w:ilvl="4" w:tplc="2D569DEC">
      <w:numFmt w:val="bullet"/>
      <w:lvlText w:val="•"/>
      <w:lvlJc w:val="left"/>
      <w:pPr>
        <w:ind w:left="4198" w:hanging="272"/>
      </w:pPr>
      <w:rPr>
        <w:rFonts w:hint="default"/>
        <w:lang w:val="uk-UA" w:eastAsia="uk-UA" w:bidi="uk-UA"/>
      </w:rPr>
    </w:lvl>
    <w:lvl w:ilvl="5" w:tplc="F0AECF9A">
      <w:numFmt w:val="bullet"/>
      <w:lvlText w:val="•"/>
      <w:lvlJc w:val="left"/>
      <w:pPr>
        <w:ind w:left="5193" w:hanging="272"/>
      </w:pPr>
      <w:rPr>
        <w:rFonts w:hint="default"/>
        <w:lang w:val="uk-UA" w:eastAsia="uk-UA" w:bidi="uk-UA"/>
      </w:rPr>
    </w:lvl>
    <w:lvl w:ilvl="6" w:tplc="C33C6458">
      <w:numFmt w:val="bullet"/>
      <w:lvlText w:val="•"/>
      <w:lvlJc w:val="left"/>
      <w:pPr>
        <w:ind w:left="6187" w:hanging="272"/>
      </w:pPr>
      <w:rPr>
        <w:rFonts w:hint="default"/>
        <w:lang w:val="uk-UA" w:eastAsia="uk-UA" w:bidi="uk-UA"/>
      </w:rPr>
    </w:lvl>
    <w:lvl w:ilvl="7" w:tplc="E1180D70">
      <w:numFmt w:val="bullet"/>
      <w:lvlText w:val="•"/>
      <w:lvlJc w:val="left"/>
      <w:pPr>
        <w:ind w:left="7182" w:hanging="272"/>
      </w:pPr>
      <w:rPr>
        <w:rFonts w:hint="default"/>
        <w:lang w:val="uk-UA" w:eastAsia="uk-UA" w:bidi="uk-UA"/>
      </w:rPr>
    </w:lvl>
    <w:lvl w:ilvl="8" w:tplc="D2AA780C">
      <w:numFmt w:val="bullet"/>
      <w:lvlText w:val="•"/>
      <w:lvlJc w:val="left"/>
      <w:pPr>
        <w:ind w:left="8177" w:hanging="272"/>
      </w:pPr>
      <w:rPr>
        <w:rFonts w:hint="default"/>
        <w:lang w:val="uk-UA" w:eastAsia="uk-UA" w:bidi="uk-UA"/>
      </w:rPr>
    </w:lvl>
  </w:abstractNum>
  <w:abstractNum w:abstractNumId="7" w15:restartNumberingAfterBreak="0">
    <w:nsid w:val="2DF7138C"/>
    <w:multiLevelType w:val="multilevel"/>
    <w:tmpl w:val="2B2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331E1"/>
    <w:multiLevelType w:val="multilevel"/>
    <w:tmpl w:val="9D6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F3E95"/>
    <w:multiLevelType w:val="hybridMultilevel"/>
    <w:tmpl w:val="0E0EA37E"/>
    <w:lvl w:ilvl="0" w:tplc="B890E8BC">
      <w:start w:val="3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538B4DB6"/>
    <w:multiLevelType w:val="hybridMultilevel"/>
    <w:tmpl w:val="E4D2004E"/>
    <w:lvl w:ilvl="0" w:tplc="0422000D">
      <w:start w:val="1"/>
      <w:numFmt w:val="bullet"/>
      <w:lvlText w:val=""/>
      <w:lvlJc w:val="left"/>
      <w:pPr>
        <w:ind w:left="177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" w15:restartNumberingAfterBreak="0">
    <w:nsid w:val="6A4C324E"/>
    <w:multiLevelType w:val="hybridMultilevel"/>
    <w:tmpl w:val="21786E98"/>
    <w:lvl w:ilvl="0" w:tplc="2B7ECE8A">
      <w:start w:val="1"/>
      <w:numFmt w:val="upperRoman"/>
      <w:lvlText w:val="%1."/>
      <w:lvlJc w:val="left"/>
      <w:pPr>
        <w:ind w:left="375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14508454">
      <w:start w:val="1"/>
      <w:numFmt w:val="decimal"/>
      <w:lvlText w:val="%2."/>
      <w:lvlJc w:val="left"/>
      <w:pPr>
        <w:ind w:left="673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2778793C">
      <w:start w:val="1"/>
      <w:numFmt w:val="decimal"/>
      <w:lvlText w:val="%3."/>
      <w:lvlJc w:val="left"/>
      <w:pPr>
        <w:ind w:left="21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61DC895E">
      <w:numFmt w:val="bullet"/>
      <w:lvlText w:val="•"/>
      <w:lvlJc w:val="left"/>
      <w:pPr>
        <w:ind w:left="4560" w:hanging="372"/>
      </w:pPr>
      <w:rPr>
        <w:rFonts w:hint="default"/>
        <w:lang w:val="uk-UA" w:eastAsia="uk-UA" w:bidi="uk-UA"/>
      </w:rPr>
    </w:lvl>
    <w:lvl w:ilvl="4" w:tplc="5A003B60">
      <w:numFmt w:val="bullet"/>
      <w:lvlText w:val="•"/>
      <w:lvlJc w:val="left"/>
      <w:pPr>
        <w:ind w:left="5361" w:hanging="372"/>
      </w:pPr>
      <w:rPr>
        <w:rFonts w:hint="default"/>
        <w:lang w:val="uk-UA" w:eastAsia="uk-UA" w:bidi="uk-UA"/>
      </w:rPr>
    </w:lvl>
    <w:lvl w:ilvl="5" w:tplc="1CC87858">
      <w:numFmt w:val="bullet"/>
      <w:lvlText w:val="•"/>
      <w:lvlJc w:val="left"/>
      <w:pPr>
        <w:ind w:left="6162" w:hanging="372"/>
      </w:pPr>
      <w:rPr>
        <w:rFonts w:hint="default"/>
        <w:lang w:val="uk-UA" w:eastAsia="uk-UA" w:bidi="uk-UA"/>
      </w:rPr>
    </w:lvl>
    <w:lvl w:ilvl="6" w:tplc="674C66A2">
      <w:numFmt w:val="bullet"/>
      <w:lvlText w:val="•"/>
      <w:lvlJc w:val="left"/>
      <w:pPr>
        <w:ind w:left="6963" w:hanging="372"/>
      </w:pPr>
      <w:rPr>
        <w:rFonts w:hint="default"/>
        <w:lang w:val="uk-UA" w:eastAsia="uk-UA" w:bidi="uk-UA"/>
      </w:rPr>
    </w:lvl>
    <w:lvl w:ilvl="7" w:tplc="AFB42522">
      <w:numFmt w:val="bullet"/>
      <w:lvlText w:val="•"/>
      <w:lvlJc w:val="left"/>
      <w:pPr>
        <w:ind w:left="7764" w:hanging="372"/>
      </w:pPr>
      <w:rPr>
        <w:rFonts w:hint="default"/>
        <w:lang w:val="uk-UA" w:eastAsia="uk-UA" w:bidi="uk-UA"/>
      </w:rPr>
    </w:lvl>
    <w:lvl w:ilvl="8" w:tplc="EA8ED42C">
      <w:numFmt w:val="bullet"/>
      <w:lvlText w:val="•"/>
      <w:lvlJc w:val="left"/>
      <w:pPr>
        <w:ind w:left="8564" w:hanging="372"/>
      </w:pPr>
      <w:rPr>
        <w:rFonts w:hint="default"/>
        <w:lang w:val="uk-UA" w:eastAsia="uk-UA" w:bidi="uk-UA"/>
      </w:rPr>
    </w:lvl>
  </w:abstractNum>
  <w:abstractNum w:abstractNumId="12" w15:restartNumberingAfterBreak="0">
    <w:nsid w:val="6EF91583"/>
    <w:multiLevelType w:val="hybridMultilevel"/>
    <w:tmpl w:val="0AB28FC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3467">
    <w:abstractNumId w:val="7"/>
  </w:num>
  <w:num w:numId="2" w16cid:durableId="2082558438">
    <w:abstractNumId w:val="8"/>
  </w:num>
  <w:num w:numId="3" w16cid:durableId="1952087578">
    <w:abstractNumId w:val="3"/>
  </w:num>
  <w:num w:numId="4" w16cid:durableId="1830704374">
    <w:abstractNumId w:val="12"/>
  </w:num>
  <w:num w:numId="5" w16cid:durableId="1285427465">
    <w:abstractNumId w:val="2"/>
  </w:num>
  <w:num w:numId="6" w16cid:durableId="1805656254">
    <w:abstractNumId w:val="0"/>
  </w:num>
  <w:num w:numId="7" w16cid:durableId="1024133408">
    <w:abstractNumId w:val="6"/>
  </w:num>
  <w:num w:numId="8" w16cid:durableId="89855211">
    <w:abstractNumId w:val="11"/>
  </w:num>
  <w:num w:numId="9" w16cid:durableId="1003824122">
    <w:abstractNumId w:val="9"/>
  </w:num>
  <w:num w:numId="10" w16cid:durableId="11260008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2003925689">
    <w:abstractNumId w:val="8"/>
  </w:num>
  <w:num w:numId="12" w16cid:durableId="913510967">
    <w:abstractNumId w:val="10"/>
  </w:num>
  <w:num w:numId="13" w16cid:durableId="315257580">
    <w:abstractNumId w:val="4"/>
  </w:num>
  <w:num w:numId="14" w16cid:durableId="1010179943">
    <w:abstractNumId w:val="5"/>
  </w:num>
  <w:num w:numId="15" w16cid:durableId="111348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AE"/>
    <w:rsid w:val="000024B7"/>
    <w:rsid w:val="000133AF"/>
    <w:rsid w:val="00014CC3"/>
    <w:rsid w:val="000166BD"/>
    <w:rsid w:val="0003397F"/>
    <w:rsid w:val="00034099"/>
    <w:rsid w:val="00041D2B"/>
    <w:rsid w:val="00054106"/>
    <w:rsid w:val="00055E1E"/>
    <w:rsid w:val="000711D3"/>
    <w:rsid w:val="0007136F"/>
    <w:rsid w:val="00073A48"/>
    <w:rsid w:val="0007535A"/>
    <w:rsid w:val="0008461F"/>
    <w:rsid w:val="000963FC"/>
    <w:rsid w:val="000B30AE"/>
    <w:rsid w:val="000B4059"/>
    <w:rsid w:val="000B457C"/>
    <w:rsid w:val="000C212E"/>
    <w:rsid w:val="000C36F3"/>
    <w:rsid w:val="000C6CC4"/>
    <w:rsid w:val="000C7D68"/>
    <w:rsid w:val="000D6653"/>
    <w:rsid w:val="000E264C"/>
    <w:rsid w:val="000E3242"/>
    <w:rsid w:val="000F258C"/>
    <w:rsid w:val="000F40F8"/>
    <w:rsid w:val="000F4EE9"/>
    <w:rsid w:val="00112088"/>
    <w:rsid w:val="0011715E"/>
    <w:rsid w:val="001210AF"/>
    <w:rsid w:val="00123026"/>
    <w:rsid w:val="00132C3B"/>
    <w:rsid w:val="00134B81"/>
    <w:rsid w:val="00136182"/>
    <w:rsid w:val="0014152F"/>
    <w:rsid w:val="001418C6"/>
    <w:rsid w:val="00141A56"/>
    <w:rsid w:val="0014284D"/>
    <w:rsid w:val="0014552A"/>
    <w:rsid w:val="00157CAF"/>
    <w:rsid w:val="001657B8"/>
    <w:rsid w:val="00175DE3"/>
    <w:rsid w:val="001802B6"/>
    <w:rsid w:val="00180955"/>
    <w:rsid w:val="00185461"/>
    <w:rsid w:val="001938C0"/>
    <w:rsid w:val="001947A8"/>
    <w:rsid w:val="001979D7"/>
    <w:rsid w:val="001A0438"/>
    <w:rsid w:val="001B12D7"/>
    <w:rsid w:val="001B1DBA"/>
    <w:rsid w:val="001B442D"/>
    <w:rsid w:val="001C0BF2"/>
    <w:rsid w:val="001D08E4"/>
    <w:rsid w:val="001D10E5"/>
    <w:rsid w:val="001D1117"/>
    <w:rsid w:val="001D1764"/>
    <w:rsid w:val="001D180E"/>
    <w:rsid w:val="001E0B98"/>
    <w:rsid w:val="001F0D9B"/>
    <w:rsid w:val="001F2822"/>
    <w:rsid w:val="001F5BFE"/>
    <w:rsid w:val="001F7067"/>
    <w:rsid w:val="0020128A"/>
    <w:rsid w:val="00203930"/>
    <w:rsid w:val="00210C74"/>
    <w:rsid w:val="002118A0"/>
    <w:rsid w:val="002128A2"/>
    <w:rsid w:val="0021427B"/>
    <w:rsid w:val="002257C9"/>
    <w:rsid w:val="002310C0"/>
    <w:rsid w:val="00235084"/>
    <w:rsid w:val="00236A0B"/>
    <w:rsid w:val="002462FF"/>
    <w:rsid w:val="002536D5"/>
    <w:rsid w:val="00254FFB"/>
    <w:rsid w:val="00264D52"/>
    <w:rsid w:val="00265D0A"/>
    <w:rsid w:val="00282C1C"/>
    <w:rsid w:val="002848F3"/>
    <w:rsid w:val="0029080A"/>
    <w:rsid w:val="00290DA7"/>
    <w:rsid w:val="002952FB"/>
    <w:rsid w:val="00296EC3"/>
    <w:rsid w:val="002A1585"/>
    <w:rsid w:val="002A1ACD"/>
    <w:rsid w:val="002A53BA"/>
    <w:rsid w:val="002B0956"/>
    <w:rsid w:val="002B77A0"/>
    <w:rsid w:val="002C39C9"/>
    <w:rsid w:val="002C61C5"/>
    <w:rsid w:val="002E4E69"/>
    <w:rsid w:val="002E75A9"/>
    <w:rsid w:val="002F0F27"/>
    <w:rsid w:val="002F511B"/>
    <w:rsid w:val="002F6047"/>
    <w:rsid w:val="00305DD2"/>
    <w:rsid w:val="00306C53"/>
    <w:rsid w:val="0031288C"/>
    <w:rsid w:val="00313F1E"/>
    <w:rsid w:val="00314E47"/>
    <w:rsid w:val="00316E9B"/>
    <w:rsid w:val="00317107"/>
    <w:rsid w:val="00326B40"/>
    <w:rsid w:val="0036181F"/>
    <w:rsid w:val="0036746C"/>
    <w:rsid w:val="00370A70"/>
    <w:rsid w:val="00371E7C"/>
    <w:rsid w:val="003772E7"/>
    <w:rsid w:val="003851EB"/>
    <w:rsid w:val="00395050"/>
    <w:rsid w:val="003961BD"/>
    <w:rsid w:val="00396930"/>
    <w:rsid w:val="00396BA6"/>
    <w:rsid w:val="003A03F3"/>
    <w:rsid w:val="003B1562"/>
    <w:rsid w:val="003B2BC9"/>
    <w:rsid w:val="003B56D9"/>
    <w:rsid w:val="003C59F7"/>
    <w:rsid w:val="003D29EB"/>
    <w:rsid w:val="003E0FA3"/>
    <w:rsid w:val="003E6320"/>
    <w:rsid w:val="003F726E"/>
    <w:rsid w:val="00410427"/>
    <w:rsid w:val="00414049"/>
    <w:rsid w:val="00441A0F"/>
    <w:rsid w:val="00443501"/>
    <w:rsid w:val="0044371F"/>
    <w:rsid w:val="00455299"/>
    <w:rsid w:val="004554D4"/>
    <w:rsid w:val="00466724"/>
    <w:rsid w:val="00471085"/>
    <w:rsid w:val="00476EC0"/>
    <w:rsid w:val="004825ED"/>
    <w:rsid w:val="00494D8A"/>
    <w:rsid w:val="004A6AED"/>
    <w:rsid w:val="004A74C6"/>
    <w:rsid w:val="004B0709"/>
    <w:rsid w:val="004B29A7"/>
    <w:rsid w:val="004B3346"/>
    <w:rsid w:val="004C02D1"/>
    <w:rsid w:val="004C1EC4"/>
    <w:rsid w:val="004E0E78"/>
    <w:rsid w:val="004E2F29"/>
    <w:rsid w:val="004E741C"/>
    <w:rsid w:val="004F69D9"/>
    <w:rsid w:val="00500038"/>
    <w:rsid w:val="00502454"/>
    <w:rsid w:val="00504CA6"/>
    <w:rsid w:val="0050721E"/>
    <w:rsid w:val="00514332"/>
    <w:rsid w:val="0052411F"/>
    <w:rsid w:val="00525CB3"/>
    <w:rsid w:val="00532AC1"/>
    <w:rsid w:val="00540170"/>
    <w:rsid w:val="00546ADF"/>
    <w:rsid w:val="005503E1"/>
    <w:rsid w:val="00551A9E"/>
    <w:rsid w:val="0055439A"/>
    <w:rsid w:val="00555768"/>
    <w:rsid w:val="005575DF"/>
    <w:rsid w:val="00571223"/>
    <w:rsid w:val="00573922"/>
    <w:rsid w:val="005771E8"/>
    <w:rsid w:val="00577EDA"/>
    <w:rsid w:val="00583C00"/>
    <w:rsid w:val="00585E03"/>
    <w:rsid w:val="005914C7"/>
    <w:rsid w:val="005A5EBD"/>
    <w:rsid w:val="005A6F0C"/>
    <w:rsid w:val="005B3C88"/>
    <w:rsid w:val="005C4945"/>
    <w:rsid w:val="005C5C3C"/>
    <w:rsid w:val="005C79B3"/>
    <w:rsid w:val="005D5993"/>
    <w:rsid w:val="005E0F78"/>
    <w:rsid w:val="005E1E35"/>
    <w:rsid w:val="005E2840"/>
    <w:rsid w:val="005F3EE9"/>
    <w:rsid w:val="00610152"/>
    <w:rsid w:val="00610CE4"/>
    <w:rsid w:val="00611E75"/>
    <w:rsid w:val="00614150"/>
    <w:rsid w:val="00617001"/>
    <w:rsid w:val="00621B14"/>
    <w:rsid w:val="00624B06"/>
    <w:rsid w:val="00626713"/>
    <w:rsid w:val="00640CA2"/>
    <w:rsid w:val="00641D16"/>
    <w:rsid w:val="00663F73"/>
    <w:rsid w:val="00664588"/>
    <w:rsid w:val="00672E2F"/>
    <w:rsid w:val="006A10C0"/>
    <w:rsid w:val="006A4F0A"/>
    <w:rsid w:val="006A557B"/>
    <w:rsid w:val="006B1C94"/>
    <w:rsid w:val="006B708E"/>
    <w:rsid w:val="006C0779"/>
    <w:rsid w:val="006C7B41"/>
    <w:rsid w:val="006D5FE1"/>
    <w:rsid w:val="006F1494"/>
    <w:rsid w:val="006F51C4"/>
    <w:rsid w:val="00700851"/>
    <w:rsid w:val="0070375F"/>
    <w:rsid w:val="007059F6"/>
    <w:rsid w:val="007150B7"/>
    <w:rsid w:val="00725815"/>
    <w:rsid w:val="00726516"/>
    <w:rsid w:val="00726D6C"/>
    <w:rsid w:val="0074104A"/>
    <w:rsid w:val="00741304"/>
    <w:rsid w:val="007603EC"/>
    <w:rsid w:val="00774817"/>
    <w:rsid w:val="00783055"/>
    <w:rsid w:val="00793261"/>
    <w:rsid w:val="00794118"/>
    <w:rsid w:val="007946B7"/>
    <w:rsid w:val="007A248C"/>
    <w:rsid w:val="007A7563"/>
    <w:rsid w:val="007B3D14"/>
    <w:rsid w:val="007C33BF"/>
    <w:rsid w:val="007C422A"/>
    <w:rsid w:val="007D044C"/>
    <w:rsid w:val="007D7E9A"/>
    <w:rsid w:val="007E01D2"/>
    <w:rsid w:val="007E16BF"/>
    <w:rsid w:val="007F490F"/>
    <w:rsid w:val="008016E7"/>
    <w:rsid w:val="0080345A"/>
    <w:rsid w:val="00804103"/>
    <w:rsid w:val="00814673"/>
    <w:rsid w:val="008158B7"/>
    <w:rsid w:val="00821D21"/>
    <w:rsid w:val="008235DC"/>
    <w:rsid w:val="00830BA6"/>
    <w:rsid w:val="00832AC1"/>
    <w:rsid w:val="0083711D"/>
    <w:rsid w:val="008455E9"/>
    <w:rsid w:val="00846643"/>
    <w:rsid w:val="00846CD6"/>
    <w:rsid w:val="00847D5C"/>
    <w:rsid w:val="00856B97"/>
    <w:rsid w:val="0086007F"/>
    <w:rsid w:val="0086042F"/>
    <w:rsid w:val="008611FA"/>
    <w:rsid w:val="00866119"/>
    <w:rsid w:val="008818DC"/>
    <w:rsid w:val="00884FD8"/>
    <w:rsid w:val="00895F8B"/>
    <w:rsid w:val="00896BD1"/>
    <w:rsid w:val="008A0A61"/>
    <w:rsid w:val="008A0D2D"/>
    <w:rsid w:val="008B42DC"/>
    <w:rsid w:val="008C1944"/>
    <w:rsid w:val="008C4ED6"/>
    <w:rsid w:val="008E516B"/>
    <w:rsid w:val="008E638B"/>
    <w:rsid w:val="008F2D6A"/>
    <w:rsid w:val="008F7913"/>
    <w:rsid w:val="00904266"/>
    <w:rsid w:val="0092311F"/>
    <w:rsid w:val="00927396"/>
    <w:rsid w:val="00932E1E"/>
    <w:rsid w:val="00936886"/>
    <w:rsid w:val="0094684B"/>
    <w:rsid w:val="00951A84"/>
    <w:rsid w:val="0095502B"/>
    <w:rsid w:val="0097014B"/>
    <w:rsid w:val="009741A5"/>
    <w:rsid w:val="00975DA6"/>
    <w:rsid w:val="00982233"/>
    <w:rsid w:val="009839A7"/>
    <w:rsid w:val="00996E1D"/>
    <w:rsid w:val="00997238"/>
    <w:rsid w:val="009B19CB"/>
    <w:rsid w:val="009B1D64"/>
    <w:rsid w:val="009B33CD"/>
    <w:rsid w:val="009B64B5"/>
    <w:rsid w:val="009C6E74"/>
    <w:rsid w:val="009D021C"/>
    <w:rsid w:val="009F2C16"/>
    <w:rsid w:val="009F70B5"/>
    <w:rsid w:val="009F76AB"/>
    <w:rsid w:val="00A0175E"/>
    <w:rsid w:val="00A0494D"/>
    <w:rsid w:val="00A150B9"/>
    <w:rsid w:val="00A230F2"/>
    <w:rsid w:val="00A3229D"/>
    <w:rsid w:val="00A35E3C"/>
    <w:rsid w:val="00A52A25"/>
    <w:rsid w:val="00A65222"/>
    <w:rsid w:val="00A65BA0"/>
    <w:rsid w:val="00A6614E"/>
    <w:rsid w:val="00A74842"/>
    <w:rsid w:val="00A806D5"/>
    <w:rsid w:val="00A933FF"/>
    <w:rsid w:val="00AB0CA7"/>
    <w:rsid w:val="00AB73E2"/>
    <w:rsid w:val="00AC1160"/>
    <w:rsid w:val="00AC61F8"/>
    <w:rsid w:val="00AD3483"/>
    <w:rsid w:val="00B11A23"/>
    <w:rsid w:val="00B13656"/>
    <w:rsid w:val="00B24502"/>
    <w:rsid w:val="00B31B9E"/>
    <w:rsid w:val="00B32788"/>
    <w:rsid w:val="00B40E8C"/>
    <w:rsid w:val="00B418D7"/>
    <w:rsid w:val="00B47877"/>
    <w:rsid w:val="00B72CA0"/>
    <w:rsid w:val="00B80EFA"/>
    <w:rsid w:val="00B85821"/>
    <w:rsid w:val="00B92451"/>
    <w:rsid w:val="00B94403"/>
    <w:rsid w:val="00B95E24"/>
    <w:rsid w:val="00BA0934"/>
    <w:rsid w:val="00BA7E96"/>
    <w:rsid w:val="00BB1A97"/>
    <w:rsid w:val="00BD21DB"/>
    <w:rsid w:val="00BD67C9"/>
    <w:rsid w:val="00BE1561"/>
    <w:rsid w:val="00BE198B"/>
    <w:rsid w:val="00BE6CDA"/>
    <w:rsid w:val="00BF0269"/>
    <w:rsid w:val="00BF0403"/>
    <w:rsid w:val="00BF1CEA"/>
    <w:rsid w:val="00BF49B0"/>
    <w:rsid w:val="00BF53E9"/>
    <w:rsid w:val="00C07D23"/>
    <w:rsid w:val="00C11AD7"/>
    <w:rsid w:val="00C21FEF"/>
    <w:rsid w:val="00C22EAB"/>
    <w:rsid w:val="00C4173B"/>
    <w:rsid w:val="00C431FC"/>
    <w:rsid w:val="00C47863"/>
    <w:rsid w:val="00C52690"/>
    <w:rsid w:val="00C6170A"/>
    <w:rsid w:val="00C64A91"/>
    <w:rsid w:val="00C64B43"/>
    <w:rsid w:val="00C7092C"/>
    <w:rsid w:val="00C809FD"/>
    <w:rsid w:val="00C80A25"/>
    <w:rsid w:val="00C82435"/>
    <w:rsid w:val="00C85553"/>
    <w:rsid w:val="00C8761C"/>
    <w:rsid w:val="00C90734"/>
    <w:rsid w:val="00C94954"/>
    <w:rsid w:val="00C977A1"/>
    <w:rsid w:val="00CA46FE"/>
    <w:rsid w:val="00CA6355"/>
    <w:rsid w:val="00CB2E08"/>
    <w:rsid w:val="00CB422F"/>
    <w:rsid w:val="00CB44DD"/>
    <w:rsid w:val="00CB5AEF"/>
    <w:rsid w:val="00CC2989"/>
    <w:rsid w:val="00CC4F83"/>
    <w:rsid w:val="00CD6027"/>
    <w:rsid w:val="00CE2709"/>
    <w:rsid w:val="00CE2FA0"/>
    <w:rsid w:val="00CF0B42"/>
    <w:rsid w:val="00CF3E12"/>
    <w:rsid w:val="00CF6986"/>
    <w:rsid w:val="00D044A8"/>
    <w:rsid w:val="00D16244"/>
    <w:rsid w:val="00D1670C"/>
    <w:rsid w:val="00D16C90"/>
    <w:rsid w:val="00D207DE"/>
    <w:rsid w:val="00D2506F"/>
    <w:rsid w:val="00D26C30"/>
    <w:rsid w:val="00D41821"/>
    <w:rsid w:val="00D47BE5"/>
    <w:rsid w:val="00D50EC7"/>
    <w:rsid w:val="00D51159"/>
    <w:rsid w:val="00D80393"/>
    <w:rsid w:val="00D87506"/>
    <w:rsid w:val="00D9650A"/>
    <w:rsid w:val="00D97C3A"/>
    <w:rsid w:val="00DB13A1"/>
    <w:rsid w:val="00DB463F"/>
    <w:rsid w:val="00DC0E58"/>
    <w:rsid w:val="00DC1C85"/>
    <w:rsid w:val="00DE098C"/>
    <w:rsid w:val="00DE2EA1"/>
    <w:rsid w:val="00DF3CC4"/>
    <w:rsid w:val="00E04103"/>
    <w:rsid w:val="00E0717C"/>
    <w:rsid w:val="00E231F4"/>
    <w:rsid w:val="00E2440A"/>
    <w:rsid w:val="00E4582C"/>
    <w:rsid w:val="00E51A6E"/>
    <w:rsid w:val="00E6071A"/>
    <w:rsid w:val="00E60F94"/>
    <w:rsid w:val="00E7026B"/>
    <w:rsid w:val="00E70A6D"/>
    <w:rsid w:val="00E715B2"/>
    <w:rsid w:val="00E748D0"/>
    <w:rsid w:val="00E851BE"/>
    <w:rsid w:val="00E86604"/>
    <w:rsid w:val="00E9177B"/>
    <w:rsid w:val="00E93032"/>
    <w:rsid w:val="00E941A6"/>
    <w:rsid w:val="00EB1367"/>
    <w:rsid w:val="00EC3E23"/>
    <w:rsid w:val="00ED0148"/>
    <w:rsid w:val="00EE1F78"/>
    <w:rsid w:val="00EF2E6B"/>
    <w:rsid w:val="00EF6743"/>
    <w:rsid w:val="00F00AD3"/>
    <w:rsid w:val="00F24DA5"/>
    <w:rsid w:val="00F318F2"/>
    <w:rsid w:val="00F34D6E"/>
    <w:rsid w:val="00F42437"/>
    <w:rsid w:val="00F433ED"/>
    <w:rsid w:val="00F437EF"/>
    <w:rsid w:val="00F55121"/>
    <w:rsid w:val="00F57F67"/>
    <w:rsid w:val="00F63E2C"/>
    <w:rsid w:val="00F72D88"/>
    <w:rsid w:val="00F81BD8"/>
    <w:rsid w:val="00F83D43"/>
    <w:rsid w:val="00F87F22"/>
    <w:rsid w:val="00FB0FD5"/>
    <w:rsid w:val="00FC2A25"/>
    <w:rsid w:val="00FC2DD8"/>
    <w:rsid w:val="00FD0437"/>
    <w:rsid w:val="00FD47AE"/>
    <w:rsid w:val="00FE1027"/>
    <w:rsid w:val="00FE4BAC"/>
    <w:rsid w:val="00FF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F3F34"/>
  <w15:docId w15:val="{7E0BEAE2-153D-41CC-83A0-334B77D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0A"/>
  </w:style>
  <w:style w:type="paragraph" w:styleId="1">
    <w:name w:val="heading 1"/>
    <w:basedOn w:val="a"/>
    <w:next w:val="a"/>
    <w:link w:val="10"/>
    <w:uiPriority w:val="9"/>
    <w:qFormat/>
    <w:rsid w:val="000D6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28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7AE"/>
    <w:rPr>
      <w:b/>
      <w:bCs/>
    </w:rPr>
  </w:style>
  <w:style w:type="paragraph" w:customStyle="1" w:styleId="a00">
    <w:name w:val="a0"/>
    <w:basedOn w:val="a"/>
    <w:rsid w:val="00F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47AE"/>
    <w:rPr>
      <w:color w:val="0000FF"/>
      <w:u w:val="single"/>
    </w:rPr>
  </w:style>
  <w:style w:type="paragraph" w:customStyle="1" w:styleId="listparagraph">
    <w:name w:val="listparagraph"/>
    <w:basedOn w:val="a"/>
    <w:rsid w:val="00F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F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E741C"/>
    <w:pPr>
      <w:ind w:left="720"/>
      <w:contextualSpacing/>
    </w:pPr>
  </w:style>
  <w:style w:type="character" w:styleId="a8">
    <w:name w:val="Emphasis"/>
    <w:basedOn w:val="a0"/>
    <w:uiPriority w:val="20"/>
    <w:qFormat/>
    <w:rsid w:val="004A74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284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13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Revision"/>
    <w:hidden/>
    <w:uiPriority w:val="99"/>
    <w:semiHidden/>
    <w:rsid w:val="00D26C3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C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54F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F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F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F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FFB"/>
    <w:rPr>
      <w:b/>
      <w:bCs/>
      <w:sz w:val="20"/>
      <w:szCs w:val="20"/>
    </w:rPr>
  </w:style>
  <w:style w:type="paragraph" w:customStyle="1" w:styleId="docdata">
    <w:name w:val="docdata"/>
    <w:aliases w:val="docy,v5,15097,baiaagaaboqcaaadatmaaau/nwaaaaaaaaaaaaaaaaaaaaaaaaaaaaaaaaaaaaaaaaaaaaaaaaaaaaaaaaaaaaaaaaaaaaaaaaaaaaaaaaaaaaaaaaaaaaaaaaaaaaaaaaaaaaaaaaaaaaaaaaaaaaaaaaaaaaaaaaaaaaaaaaaaaaaaaaaaaaaaaaaaaaaaaaaaaaaaaaaaaaaaaaaaaaaaaaaaaaaaaaaaaaa"/>
    <w:basedOn w:val="a"/>
    <w:rsid w:val="00AC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949">
    <w:name w:val="2949"/>
    <w:aliases w:val="baiaagaaboqcaaadvgkaaaxmcqaaaaaaaaaaaaaaaaaaaaaaaaaaaaaaaaaaaaaaaaaaaaaaaaaaaaaaaaaaaaaaaaaaaaaaaaaaaaaaaaaaaaaaaaaaaaaaaaaaaaaaaaaaaaaaaaaaaaaaaaaaaaaaaaaaaaaaaaaaaaaaaaaaaaaaaaaaaaaaaaaaaaaaaaaaaaaaaaaaaaaaaaaaaaaaaaaaaaaaaaaaaaaa"/>
    <w:basedOn w:val="a0"/>
    <w:rsid w:val="00BE6CDA"/>
  </w:style>
  <w:style w:type="character" w:customStyle="1" w:styleId="10">
    <w:name w:val="Заголовок 1 Знак"/>
    <w:basedOn w:val="a0"/>
    <w:link w:val="1"/>
    <w:uiPriority w:val="9"/>
    <w:rsid w:val="000D6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1"/>
    <w:qFormat/>
    <w:rsid w:val="000D6653"/>
    <w:pPr>
      <w:widowControl w:val="0"/>
      <w:autoSpaceDE w:val="0"/>
      <w:autoSpaceDN w:val="0"/>
      <w:spacing w:after="0" w:line="240" w:lineRule="auto"/>
      <w:ind w:left="276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f2">
    <w:name w:val="Основной текст Знак"/>
    <w:basedOn w:val="a0"/>
    <w:link w:val="af1"/>
    <w:uiPriority w:val="1"/>
    <w:rsid w:val="000D6653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0133AF"/>
    <w:pPr>
      <w:widowControl w:val="0"/>
      <w:autoSpaceDE w:val="0"/>
      <w:autoSpaceDN w:val="0"/>
      <w:spacing w:after="0" w:line="240" w:lineRule="auto"/>
      <w:ind w:left="52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26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unhideWhenUsed/>
    <w:rsid w:val="000B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B457C"/>
  </w:style>
  <w:style w:type="paragraph" w:styleId="af5">
    <w:name w:val="footer"/>
    <w:basedOn w:val="a"/>
    <w:link w:val="af6"/>
    <w:uiPriority w:val="99"/>
    <w:unhideWhenUsed/>
    <w:rsid w:val="000B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B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109D-FDB5-44F8-8478-00B49685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3851</Words>
  <Characters>21952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Олег Шалюта</cp:lastModifiedBy>
  <cp:revision>3</cp:revision>
  <cp:lastPrinted>2022-10-03T08:30:00Z</cp:lastPrinted>
  <dcterms:created xsi:type="dcterms:W3CDTF">2022-10-03T08:21:00Z</dcterms:created>
  <dcterms:modified xsi:type="dcterms:W3CDTF">2022-10-03T08:32:00Z</dcterms:modified>
</cp:coreProperties>
</file>