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E0C3" w14:textId="266F5157" w:rsidR="00A10D7A" w:rsidRPr="00553589" w:rsidRDefault="00FD47AE" w:rsidP="0055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 регуляторного впливу</w:t>
      </w:r>
      <w:r w:rsidRPr="00E002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9349EA" w:rsidRPr="00E002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="00D11988" w:rsidRPr="00E002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D11988" w:rsidRPr="00E002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«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Про </w:t>
      </w:r>
      <w:r w:rsidR="008E0CC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>внесення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змін 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>до Положення про фінансово-кредитну підтримку суб'єктів малого та середнього підприємництва у місті Києві, затвердженого рішенням Київської міської ради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>від 21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>вересня 2017 року № 46/3053»</w:t>
      </w:r>
    </w:p>
    <w:p w14:paraId="069FB98B" w14:textId="77777777" w:rsidR="00664588" w:rsidRPr="00E00286" w:rsidRDefault="00664588" w:rsidP="0098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4FD3E6D" w14:textId="77777777" w:rsidR="00FD47AE" w:rsidRPr="00E00286" w:rsidRDefault="00FD47AE" w:rsidP="001E3D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Визначення проблеми.</w:t>
      </w:r>
    </w:p>
    <w:p w14:paraId="360DC62B" w14:textId="77777777" w:rsidR="001E3D1B" w:rsidRPr="00E00286" w:rsidRDefault="001E3D1B" w:rsidP="00410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01C55F" w14:textId="56F895E2" w:rsidR="00AE5830" w:rsidRPr="00E00286" w:rsidRDefault="00562697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столиці з 2014 року </w:t>
      </w:r>
      <w:r w:rsidR="0045049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щорічно зростає кількість киян – учасників бойових дій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Так, станом на 24.02.2022 в місті Києві кількість киян, які брали безпосередню участь в антитерористичній операції та у здійсненні заходів із забезпечення національної безпеки </w:t>
      </w:r>
      <w:r w:rsidR="0045049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оборони, відсічі і стримуванні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збройної агресії Російської Федерації у Донецькій та Луганській областях, становила 31137 осіб (з них 1534 особи з інвалідністю внаслідок війни, тобто 5 %). З початком повномасштабного вторгнення Російської Федерації в Україну 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цей показник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суттєво збільшується, та станом на кінець року, за попередніми розрахунками, становитиме орієнтовно 100 тис. осіб.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ослужбовців відповідно теж збільшилась в 3-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 рази. В подальшому передбачається збільшення зазначе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ної категорії громадян ще у 1,5-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 рази.</w:t>
      </w:r>
    </w:p>
    <w:p w14:paraId="49DB4661" w14:textId="539BBE46" w:rsidR="00562697" w:rsidRPr="00E00286" w:rsidRDefault="00562697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Нагальною є й проблема безробіття серед киян 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учасників бойових дій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звільнилися з військової служби: статистично, майже половина з них стикались із цією проблемою. Широке розповсюдження безробіття серед 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киян 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учасників бойових дій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певною мірою можна пояснити недостатньою кількістю створених можливостей для набуття нових та розвитку існуючих навичок цивільної роботи в певному віці. Вірогідним шляхом вирішення цієї проблеми є розробка </w:t>
      </w:r>
      <w:r w:rsidR="00DD0059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спеціальних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 із працевлаштування, стажування, перекваліфікації, надання </w:t>
      </w:r>
      <w:r w:rsidR="00B04DED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фінансово-кредитної підтримки для відкриття </w:t>
      </w:r>
      <w:r w:rsidR="000F5B7A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або розвитку </w:t>
      </w:r>
      <w:r w:rsidR="00B04DED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власного бізнесу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тощо.</w:t>
      </w:r>
    </w:p>
    <w:p w14:paraId="0E974A9C" w14:textId="62CDC1DA" w:rsidR="00981632" w:rsidRPr="00E00286" w:rsidRDefault="00562697" w:rsidP="00A10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 w:rsidR="00186D05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зазначене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вище</w:t>
      </w:r>
      <w:r w:rsidR="00E41B84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41B84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передбачається видати </w:t>
      </w:r>
      <w:r w:rsidR="00D11988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Київської міської ради «</w:t>
      </w:r>
      <w:r w:rsidR="00D11988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r w:rsidR="008E0C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внесення</w:t>
      </w:r>
      <w:r w:rsidR="00D11988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змін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до Положення про фінансово-кредитну підтримку суб'єктів малого та середнього підприємництва у місті Києві, затвердженого рішенням Київської міської ради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від 21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r w:rsidR="00553589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вересня 2017 року № 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" w:eastAsia="uk-UA"/>
        </w:rPr>
        <w:t>46/3053</w:t>
      </w:r>
      <w:r w:rsidR="00D11988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981632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– </w:t>
      </w:r>
      <w:proofErr w:type="spellStart"/>
      <w:r w:rsidR="00981632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981632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</w:t>
      </w:r>
      <w:r w:rsidR="009349EA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975EC3" w:rsidRPr="00E002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8408760" w14:textId="77777777" w:rsidR="000C67D4" w:rsidRPr="00E00286" w:rsidRDefault="000C67D4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13D564" w14:textId="73037BE6" w:rsidR="00FD47AE" w:rsidRPr="00E00286" w:rsidRDefault="00FD47AE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="00D9650A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групи (підгрупи), на які</w:t>
      </w:r>
      <w:r w:rsidR="00D9650A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справляється</w:t>
      </w:r>
      <w:r w:rsidR="00D9650A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1D3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вплив при підготовці </w:t>
      </w:r>
      <w:proofErr w:type="spellStart"/>
      <w:r w:rsidR="000711D3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1EE18F8" w14:textId="0A92B9CA" w:rsidR="00664588" w:rsidRDefault="00664588" w:rsidP="005C7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EE3BF2" w14:textId="77777777" w:rsidR="00553589" w:rsidRPr="00E00286" w:rsidRDefault="00553589" w:rsidP="005C7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86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845"/>
        <w:gridCol w:w="817"/>
      </w:tblGrid>
      <w:tr w:rsidR="00DF3CC4" w:rsidRPr="00E00286" w14:paraId="7113E82B" w14:textId="77777777" w:rsidTr="00626713">
        <w:trPr>
          <w:trHeight w:val="318"/>
          <w:tblCellSpacing w:w="0" w:type="dxa"/>
          <w:jc w:val="center"/>
        </w:trPr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0DDEB" w14:textId="77777777" w:rsidR="00FD47AE" w:rsidRPr="00E00286" w:rsidRDefault="00FD47AE" w:rsidP="006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E26E3" w14:textId="77777777" w:rsidR="00FD47AE" w:rsidRPr="00E00286" w:rsidRDefault="00FD47AE" w:rsidP="0062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93E1" w14:textId="77777777" w:rsidR="00FD47AE" w:rsidRPr="00E00286" w:rsidRDefault="00FD47AE" w:rsidP="0062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DF3CC4" w:rsidRPr="00E00286" w14:paraId="04297CBE" w14:textId="77777777" w:rsidTr="00626713">
        <w:trPr>
          <w:tblCellSpacing w:w="0" w:type="dxa"/>
          <w:jc w:val="center"/>
        </w:trPr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9F3A" w14:textId="77777777" w:rsidR="00FD47AE" w:rsidRPr="00E00286" w:rsidRDefault="00FD47AE" w:rsidP="006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F333C" w14:textId="77777777" w:rsidR="00FD47AE" w:rsidRPr="00E00286" w:rsidRDefault="00FD47AE" w:rsidP="002C39C9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D635C" w14:textId="77777777" w:rsidR="00FD47AE" w:rsidRPr="00E00286" w:rsidRDefault="00FD47AE" w:rsidP="002C39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3CC4" w:rsidRPr="00E00286" w14:paraId="41B0BD04" w14:textId="77777777" w:rsidTr="00626713">
        <w:trPr>
          <w:tblCellSpacing w:w="0" w:type="dxa"/>
          <w:jc w:val="center"/>
        </w:trPr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340F7" w14:textId="77777777" w:rsidR="00FD47AE" w:rsidRPr="00E00286" w:rsidRDefault="00FD47AE" w:rsidP="006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02990" w14:textId="77777777" w:rsidR="00FD47AE" w:rsidRPr="00E00286" w:rsidRDefault="00FD47AE" w:rsidP="00E715B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72705" w14:textId="77777777" w:rsidR="00FD47AE" w:rsidRPr="00E00286" w:rsidRDefault="00FD47AE" w:rsidP="0062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F3CC4" w:rsidRPr="00E00286" w14:paraId="448849AD" w14:textId="77777777" w:rsidTr="00626713">
        <w:trPr>
          <w:tblCellSpacing w:w="0" w:type="dxa"/>
          <w:jc w:val="center"/>
        </w:trPr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0DAF" w14:textId="77777777" w:rsidR="00FD47AE" w:rsidRPr="00E00286" w:rsidRDefault="00FD47AE" w:rsidP="006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Суб’єкти</w:t>
            </w:r>
            <w:r w:rsidR="00A150B9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господарювання,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9B422" w14:textId="77777777" w:rsidR="00FD47AE" w:rsidRPr="00E00286" w:rsidRDefault="00FD47AE" w:rsidP="00E715B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07A15" w14:textId="77777777" w:rsidR="00FD47AE" w:rsidRPr="00E00286" w:rsidRDefault="00FD47AE" w:rsidP="0062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F3CC4" w:rsidRPr="00E00286" w14:paraId="660E9B4A" w14:textId="77777777" w:rsidTr="00626713">
        <w:trPr>
          <w:tblCellSpacing w:w="0" w:type="dxa"/>
          <w:jc w:val="center"/>
        </w:trPr>
        <w:tc>
          <w:tcPr>
            <w:tcW w:w="7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F47B7" w14:textId="77777777" w:rsidR="00FD47AE" w:rsidRPr="00E00286" w:rsidRDefault="00FD47AE" w:rsidP="00626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  <w:r w:rsidR="00A150B9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суб’єкти малого підприємництва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1777" w14:textId="77777777" w:rsidR="00FD47AE" w:rsidRPr="00E00286" w:rsidRDefault="00FD47AE" w:rsidP="00E715B2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3FDDC" w14:textId="77777777" w:rsidR="00FD47AE" w:rsidRPr="00E00286" w:rsidRDefault="00FD47AE" w:rsidP="0062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14:paraId="596852D4" w14:textId="1EC7515B" w:rsidR="00626713" w:rsidRPr="00E00286" w:rsidRDefault="004659E8" w:rsidP="00975E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</w:p>
    <w:p w14:paraId="5F3ADDE2" w14:textId="77777777" w:rsidR="00A92419" w:rsidRPr="00E00286" w:rsidRDefault="00A92419" w:rsidP="00347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17DE5EC" w14:textId="77777777" w:rsidR="00FD47AE" w:rsidRPr="00E00286" w:rsidRDefault="00FD47AE" w:rsidP="006267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ІІ. Цілі державного регулювання</w:t>
      </w:r>
    </w:p>
    <w:p w14:paraId="55EA4AE7" w14:textId="77777777" w:rsidR="00664588" w:rsidRPr="00E00286" w:rsidRDefault="00664588" w:rsidP="006267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1F0889" w14:textId="77777777" w:rsidR="00A10D7A" w:rsidRPr="00E00286" w:rsidRDefault="003D0C3C" w:rsidP="00BE1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Затвердження прозорого та ефективного механізму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надання фінансової допомоги у місті Києві  на відкриття або розвиток власного бізнесу  Захисникам та Захисницям України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 членам їх сімей</w:t>
      </w:r>
      <w:r w:rsidR="00A10D7A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A10D7A"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(при отриманні кредиту).</w:t>
      </w:r>
    </w:p>
    <w:p w14:paraId="4CD1084D" w14:textId="27F14634" w:rsidR="00975EC3" w:rsidRPr="00E00286" w:rsidRDefault="00975EC3" w:rsidP="00BE1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Підвищення рівні зайнятості населення та створення нових робочих місць.</w:t>
      </w:r>
    </w:p>
    <w:p w14:paraId="20C18267" w14:textId="78A3FB7B" w:rsidR="00975EC3" w:rsidRPr="00E00286" w:rsidRDefault="00975EC3" w:rsidP="00BE15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Зменшення соціальної напруженості серед</w:t>
      </w:r>
      <w:r w:rsidRPr="00E00286">
        <w:t xml:space="preserve"> </w:t>
      </w: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учасників бойових дій.</w:t>
      </w:r>
    </w:p>
    <w:p w14:paraId="6D81292A" w14:textId="77777777" w:rsidR="000E3242" w:rsidRPr="00E00286" w:rsidRDefault="000E3242" w:rsidP="0062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1528E5" w14:textId="77777777" w:rsidR="00FD47AE" w:rsidRPr="00E00286" w:rsidRDefault="00FD47AE" w:rsidP="004E7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Визначення та оцінка</w:t>
      </w:r>
      <w:r w:rsidR="0070375F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альтернативних</w:t>
      </w:r>
      <w:r w:rsidR="0070375F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способів</w:t>
      </w:r>
      <w:r w:rsidR="0070375F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досягнення</w:t>
      </w:r>
      <w:r w:rsidR="0070375F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зазначених</w:t>
      </w:r>
      <w:r w:rsidR="0070375F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цілей</w:t>
      </w:r>
    </w:p>
    <w:p w14:paraId="49784141" w14:textId="77777777" w:rsidR="001E3D1B" w:rsidRPr="00E00286" w:rsidRDefault="001E3D1B" w:rsidP="004E7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CE9DC0" w14:textId="77777777" w:rsidR="00FD47AE" w:rsidRPr="00E00286" w:rsidRDefault="004E741C" w:rsidP="004E7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D47AE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47AE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альтернативних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47AE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способів:</w:t>
      </w:r>
    </w:p>
    <w:tbl>
      <w:tblPr>
        <w:tblW w:w="91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028"/>
      </w:tblGrid>
      <w:tr w:rsidR="00DF3CC4" w:rsidRPr="00E00286" w14:paraId="3A04012C" w14:textId="77777777" w:rsidTr="00A92419">
        <w:trPr>
          <w:tblCellSpacing w:w="0" w:type="dxa"/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6B04E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68D35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</w:t>
            </w:r>
            <w:r w:rsidR="00B72C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альтернативи</w:t>
            </w:r>
          </w:p>
        </w:tc>
      </w:tr>
      <w:tr w:rsidR="00DF3CC4" w:rsidRPr="00E00286" w14:paraId="1A9BD82A" w14:textId="77777777" w:rsidTr="00A92419">
        <w:trPr>
          <w:tblCellSpacing w:w="0" w:type="dxa"/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DC36F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F59FC" w14:textId="19FD9652" w:rsidR="00FD47AE" w:rsidRPr="00E00286" w:rsidRDefault="00FD47AE" w:rsidP="001D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Залишити</w:t>
            </w:r>
            <w:r w:rsidR="008A0A61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існуючу</w:t>
            </w:r>
            <w:r w:rsidR="008A0A61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ситуацію без змін</w:t>
            </w:r>
          </w:p>
        </w:tc>
      </w:tr>
      <w:tr w:rsidR="00DF3CC4" w:rsidRPr="00E00286" w14:paraId="19D9A891" w14:textId="77777777" w:rsidTr="00A92419">
        <w:trPr>
          <w:tblCellSpacing w:w="0" w:type="dxa"/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07EE6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Альтернатива </w:t>
            </w:r>
            <w:r w:rsidR="00621B1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12DDF" w14:textId="33A56B79" w:rsidR="00FD47AE" w:rsidRPr="00E00286" w:rsidRDefault="00DB4F5E" w:rsidP="001D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Регулювання на державному рівні</w:t>
            </w:r>
          </w:p>
        </w:tc>
      </w:tr>
      <w:tr w:rsidR="00A92419" w:rsidRPr="00E00286" w14:paraId="21486F39" w14:textId="77777777" w:rsidTr="00A92419">
        <w:trPr>
          <w:tblCellSpacing w:w="0" w:type="dxa"/>
          <w:jc w:val="center"/>
        </w:trPr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2AE94" w14:textId="3509E1C5" w:rsidR="00A92419" w:rsidRPr="00E00286" w:rsidRDefault="00A92419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B06612" w14:textId="0E0AB2C1" w:rsidR="00A92419" w:rsidRPr="00E00286" w:rsidRDefault="00A92419" w:rsidP="003D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Прийняти запропонований </w:t>
            </w:r>
            <w:proofErr w:type="spellStart"/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</w:p>
        </w:tc>
      </w:tr>
    </w:tbl>
    <w:p w14:paraId="4E24935F" w14:textId="77777777" w:rsidR="00FD0437" w:rsidRPr="00E00286" w:rsidRDefault="00FD0437" w:rsidP="00D16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369566" w14:textId="77777777" w:rsidR="00FD47AE" w:rsidRPr="00E00286" w:rsidRDefault="00FD47AE" w:rsidP="00D16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2.Оцінка вибраних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альтернативних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способів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цілей</w:t>
      </w:r>
    </w:p>
    <w:p w14:paraId="050E6DDC" w14:textId="77777777" w:rsidR="00FD0437" w:rsidRPr="00E00286" w:rsidRDefault="00FD0437" w:rsidP="00D16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993185" w14:textId="77777777" w:rsidR="00FD47AE" w:rsidRPr="00E00286" w:rsidRDefault="00FD47AE" w:rsidP="00D16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впливу на сферу інтересів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держави:</w:t>
      </w:r>
    </w:p>
    <w:tbl>
      <w:tblPr>
        <w:tblW w:w="91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486"/>
        <w:gridCol w:w="4657"/>
      </w:tblGrid>
      <w:tr w:rsidR="00A92419" w:rsidRPr="00E00286" w14:paraId="36662EFC" w14:textId="77777777" w:rsidTr="00A92419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D6F51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45283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E4E7E" w14:textId="77777777" w:rsidR="00FD47AE" w:rsidRPr="00E00286" w:rsidRDefault="00FD47AE" w:rsidP="00D1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A92419" w:rsidRPr="00553589" w14:paraId="7B28A384" w14:textId="77777777" w:rsidTr="00A92419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55304" w14:textId="77777777" w:rsidR="00FD47AE" w:rsidRPr="00E00286" w:rsidRDefault="00FD47AE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E6F48" w14:textId="77777777" w:rsidR="00FD47AE" w:rsidRPr="00E00286" w:rsidRDefault="00236A0B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318F2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ідсутні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00B27" w14:textId="362694EF" w:rsidR="005C5C3C" w:rsidRPr="00E00286" w:rsidRDefault="00EA24D7" w:rsidP="002729E6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Зменшуєть</w:t>
            </w:r>
            <w:r w:rsidR="00A10D7A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ся кількість отримувачів 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що тягне за собою зменшення надходжен</w:t>
            </w:r>
            <w:r w:rsidR="002729E6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ь від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сплати податків, зборів та інших обов’язкових плат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ежів до бюджетів різних рівнів</w:t>
            </w:r>
          </w:p>
        </w:tc>
      </w:tr>
      <w:tr w:rsidR="00A92419" w:rsidRPr="00553589" w14:paraId="3412E11A" w14:textId="77777777" w:rsidTr="00A92419">
        <w:trPr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602AD" w14:textId="77777777" w:rsidR="00FD47AE" w:rsidRPr="00E00286" w:rsidRDefault="00FD47AE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Альтернатива </w:t>
            </w:r>
            <w:r w:rsidR="00621B1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18D47" w14:textId="24C07263" w:rsidR="006A557B" w:rsidRPr="00E00286" w:rsidRDefault="00A92419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A78C1" w14:textId="7543F2E1" w:rsidR="0012534B" w:rsidRPr="00E00286" w:rsidRDefault="0012534B" w:rsidP="0012534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Зменшується кількість отримувачів </w:t>
            </w:r>
            <w:r w:rsidR="00A10D7A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що тягне за собою зменшення надходжен</w:t>
            </w:r>
            <w:r w:rsidR="002729E6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ь від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сплати податків, зборів та інших обов’язкових плат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ежів до бюджетів різних рівнів</w:t>
            </w:r>
          </w:p>
          <w:p w14:paraId="107A04B2" w14:textId="72782A44" w:rsidR="0070375F" w:rsidRPr="00E00286" w:rsidRDefault="0070375F" w:rsidP="00A9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419" w:rsidRPr="00E00286" w14:paraId="77B74BA3" w14:textId="77777777" w:rsidTr="00A92419">
        <w:trPr>
          <w:trHeight w:val="905"/>
          <w:tblCellSpacing w:w="0" w:type="dxa"/>
          <w:jc w:val="center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B53DD" w14:textId="3C9CA1E1" w:rsidR="00A92419" w:rsidRPr="00E00286" w:rsidRDefault="00A92419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EF20A1" w14:textId="05315AF1" w:rsidR="00A92419" w:rsidRPr="00E00286" w:rsidRDefault="00A92419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Додаткові надходження до міського бюджету. </w:t>
            </w:r>
            <w:r w:rsidR="0012534B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нових робочих місць.</w:t>
            </w:r>
          </w:p>
          <w:p w14:paraId="1E0D01E8" w14:textId="02EF1972" w:rsidR="0012534B" w:rsidRPr="00E00286" w:rsidRDefault="0007241C" w:rsidP="0012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Зменшення соціальної напруги.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1E7D4" w14:textId="61EF01BE" w:rsidR="00A92419" w:rsidRPr="00E00286" w:rsidRDefault="00A92419" w:rsidP="00012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Витрати на реалізацію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50B1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DA5505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відповідно до М-Тесту за перший рік регулювання                </w:t>
            </w:r>
            <w:r w:rsidR="00927405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1 041,60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740ED2BB" w14:textId="4AC9A29D" w:rsidR="000126D1" w:rsidRPr="00E00286" w:rsidRDefault="00A10D7A" w:rsidP="00A10D7A">
            <w:pPr>
              <w:tabs>
                <w:tab w:val="left" w:pos="3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</w:tbl>
    <w:p w14:paraId="53528460" w14:textId="77777777" w:rsidR="00FD0437" w:rsidRPr="00E00286" w:rsidRDefault="00FD0437" w:rsidP="00D162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AD403A" w14:textId="77777777" w:rsidR="00FD47AE" w:rsidRPr="00E00286" w:rsidRDefault="00CD6027" w:rsidP="00D162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впливу на</w:t>
      </w:r>
      <w:r w:rsidR="00FD47AE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сферу інтересів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D0437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pPr w:leftFromText="180" w:rightFromText="180" w:vertAnchor="text" w:tblpXSpec="center" w:tblpY="1"/>
        <w:tblOverlap w:val="never"/>
        <w:tblW w:w="9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486"/>
        <w:gridCol w:w="4657"/>
      </w:tblGrid>
      <w:tr w:rsidR="00E037DC" w:rsidRPr="00E00286" w14:paraId="21C0DA7C" w14:textId="77777777" w:rsidTr="00E037DC">
        <w:trPr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5B362" w14:textId="77777777" w:rsidR="008F2D6A" w:rsidRPr="00E00286" w:rsidRDefault="008F2D6A" w:rsidP="00E0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F86ED" w14:textId="77777777" w:rsidR="008F2D6A" w:rsidRPr="00E00286" w:rsidRDefault="008F2D6A" w:rsidP="00E0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80126" w14:textId="77777777" w:rsidR="008F2D6A" w:rsidRPr="00E00286" w:rsidRDefault="008F2D6A" w:rsidP="00E0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E037DC" w:rsidRPr="00E00286" w14:paraId="46CD9FAA" w14:textId="77777777" w:rsidTr="00E037DC">
        <w:trPr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A8C0D" w14:textId="77777777" w:rsidR="008F2D6A" w:rsidRPr="00E00286" w:rsidRDefault="008F2D6A" w:rsidP="00E0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BDA17" w14:textId="5094106F" w:rsidR="008F2D6A" w:rsidRPr="00E00286" w:rsidRDefault="00E74371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A7880" w14:textId="147C1A2A" w:rsidR="008F2D6A" w:rsidRPr="00E00286" w:rsidRDefault="00CB00A0" w:rsidP="00E7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Втрата додаткової кількості робочих місць</w:t>
            </w:r>
          </w:p>
        </w:tc>
      </w:tr>
      <w:tr w:rsidR="00E037DC" w:rsidRPr="00E00286" w14:paraId="7202EF89" w14:textId="77777777" w:rsidTr="00E037DC">
        <w:trPr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31C71" w14:textId="77777777" w:rsidR="008F2D6A" w:rsidRPr="00E00286" w:rsidRDefault="008F2D6A" w:rsidP="00E0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6F32B" w14:textId="42B62ABD" w:rsidR="008F2D6A" w:rsidRPr="00E00286" w:rsidRDefault="00010EEC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FA467" w14:textId="780473A7" w:rsidR="008F2D6A" w:rsidRPr="00E00286" w:rsidRDefault="00CB00A0" w:rsidP="00CB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Втрата додаткової </w:t>
            </w:r>
            <w:r w:rsidR="0007241C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кількості робочих місць</w:t>
            </w:r>
          </w:p>
        </w:tc>
      </w:tr>
      <w:tr w:rsidR="00E037DC" w:rsidRPr="00E00286" w14:paraId="532DDEAF" w14:textId="77777777" w:rsidTr="00E037DC">
        <w:trPr>
          <w:trHeight w:val="642"/>
          <w:tblCellSpacing w:w="0" w:type="dxa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EDDBD" w14:textId="15EFDF9E" w:rsidR="00010EEC" w:rsidRPr="00E00286" w:rsidRDefault="00010EEC" w:rsidP="00E0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7985F" w14:textId="7B2381AB" w:rsidR="00010EEC" w:rsidRPr="00E00286" w:rsidRDefault="007B738D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Збільшення кількості отримувачів </w:t>
            </w:r>
            <w:r w:rsidR="00A10D7A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B3F213C" w14:textId="6DA81F19" w:rsidR="0007241C" w:rsidRPr="00E00286" w:rsidRDefault="0007241C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Збільшення кількості робочих місць.</w:t>
            </w:r>
          </w:p>
          <w:p w14:paraId="61FD6FCE" w14:textId="59BAD0A4" w:rsidR="007B738D" w:rsidRPr="00E00286" w:rsidRDefault="007B738D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Соціалізація та зайнятість киян,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які повертаються у мирне життя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7D2C0" w14:textId="4122C19A" w:rsidR="00E037DC" w:rsidRPr="00E00286" w:rsidRDefault="00DA5505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14:paraId="52B70B00" w14:textId="77777777" w:rsidR="00010EEC" w:rsidRPr="00E00286" w:rsidRDefault="00010EEC" w:rsidP="00E7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C8ED2A" w14:textId="77777777" w:rsidR="00FD0437" w:rsidRPr="00E00286" w:rsidRDefault="00FD0437" w:rsidP="00E0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3F4F2E" w14:textId="77777777" w:rsidR="00FD47AE" w:rsidRPr="00E00286" w:rsidRDefault="00FD47AE" w:rsidP="00D162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</w:t>
      </w:r>
      <w:r w:rsidR="0083711D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впливу на сферу інтересів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суб’єктів</w:t>
      </w:r>
      <w:r w:rsidR="0070375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господарювання:</w:t>
      </w:r>
    </w:p>
    <w:tbl>
      <w:tblPr>
        <w:tblW w:w="9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1085"/>
        <w:gridCol w:w="993"/>
        <w:gridCol w:w="992"/>
        <w:gridCol w:w="992"/>
      </w:tblGrid>
      <w:tr w:rsidR="005754E3" w:rsidRPr="00E00286" w14:paraId="1BA2372B" w14:textId="77777777" w:rsidTr="005754E3">
        <w:trPr>
          <w:tblCellSpacing w:w="0" w:type="dxa"/>
          <w:jc w:val="center"/>
        </w:trPr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D7959" w14:textId="7777777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4F272" w14:textId="7777777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5D235" w14:textId="7777777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E4771" w14:textId="7777777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6AB30" w14:textId="7777777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</w:tr>
      <w:tr w:rsidR="005754E3" w:rsidRPr="00E00286" w14:paraId="15695D1B" w14:textId="77777777" w:rsidTr="005754E3">
        <w:trPr>
          <w:tblCellSpacing w:w="0" w:type="dxa"/>
          <w:jc w:val="center"/>
        </w:trPr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B214C" w14:textId="77777777" w:rsidR="005754E3" w:rsidRPr="00E00286" w:rsidRDefault="005754E3" w:rsidP="00D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92EAF" w14:textId="5B134367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0D3C0" w14:textId="43C0F10A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86754" w14:textId="644DF42F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D36BB" w14:textId="30A5E035" w:rsidR="005754E3" w:rsidRPr="00E00286" w:rsidRDefault="005754E3" w:rsidP="0057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1015</w:t>
            </w:r>
          </w:p>
        </w:tc>
      </w:tr>
      <w:tr w:rsidR="005754E3" w:rsidRPr="00E00286" w14:paraId="59FE5FEF" w14:textId="77777777" w:rsidTr="005754E3">
        <w:trPr>
          <w:tblCellSpacing w:w="0" w:type="dxa"/>
          <w:jc w:val="center"/>
        </w:trPr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59EFE" w14:textId="77777777" w:rsidR="005754E3" w:rsidRPr="00E00286" w:rsidRDefault="005754E3" w:rsidP="00DE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12301" w14:textId="26E892C9" w:rsidR="005754E3" w:rsidRPr="00E00286" w:rsidRDefault="005754E3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8C80F" w14:textId="2852EF78" w:rsidR="005754E3" w:rsidRPr="00E00286" w:rsidRDefault="003F7644" w:rsidP="00DE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FDA76" w14:textId="2CCDAB28" w:rsidR="005754E3" w:rsidRPr="00E00286" w:rsidRDefault="005754E3" w:rsidP="00C1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ACD2E" w14:textId="77777777" w:rsidR="005754E3" w:rsidRPr="00E00286" w:rsidRDefault="005754E3" w:rsidP="001B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14:paraId="6FF0D2D8" w14:textId="03C4B9E8" w:rsidR="007B738D" w:rsidRPr="00E00286" w:rsidRDefault="007B738D" w:rsidP="007B7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00286">
        <w:rPr>
          <w:rFonts w:ascii="Times New Roman" w:hAnsi="Times New Roman" w:cs="Times New Roman"/>
          <w:sz w:val="28"/>
          <w:szCs w:val="28"/>
          <w:lang w:val="uk-UA" w:eastAsia="uk-UA"/>
        </w:rPr>
        <w:t>Кількість суб’єктів малого підприємництва, на як</w:t>
      </w:r>
      <w:r w:rsidR="00DA5505" w:rsidRPr="00E002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их поширюється регулювання: </w:t>
      </w:r>
      <w:r w:rsidR="00271F6A" w:rsidRPr="00E00286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DA5505" w:rsidRPr="00E002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lang w:val="uk-UA" w:eastAsia="uk-UA"/>
        </w:rPr>
        <w:t>000 о</w:t>
      </w:r>
      <w:r w:rsidR="00550256" w:rsidRPr="00E002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диниць, </w:t>
      </w:r>
      <w:r w:rsidRPr="00E00286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FE76AA" w:rsidRPr="00E00286">
        <w:rPr>
          <w:rFonts w:ascii="Times New Roman" w:hAnsi="Times New Roman" w:cs="Times New Roman"/>
          <w:sz w:val="28"/>
          <w:szCs w:val="28"/>
          <w:lang w:val="uk-UA" w:eastAsia="uk-UA"/>
        </w:rPr>
        <w:t>орієнтовно (розрахунково)</w:t>
      </w:r>
      <w:r w:rsidR="002729E6" w:rsidRPr="00E00286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FE76AA" w:rsidRPr="00E0028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31"/>
        <w:gridCol w:w="3226"/>
      </w:tblGrid>
      <w:tr w:rsidR="00DF3CC4" w:rsidRPr="00E00286" w14:paraId="0A99D4D6" w14:textId="77777777" w:rsidTr="00A117FF">
        <w:trPr>
          <w:tblCellSpacing w:w="0" w:type="dxa"/>
          <w:jc w:val="center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7781B" w14:textId="77777777" w:rsidR="00FD47AE" w:rsidRPr="00E00286" w:rsidRDefault="00FD47AE" w:rsidP="00B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77BD9" w14:textId="77777777" w:rsidR="00FD47AE" w:rsidRPr="00E00286" w:rsidRDefault="00FD47AE" w:rsidP="00B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71E14" w14:textId="77777777" w:rsidR="00FD47AE" w:rsidRPr="00E00286" w:rsidRDefault="00FD47AE" w:rsidP="00B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DF3CC4" w:rsidRPr="00E00286" w14:paraId="221D79F4" w14:textId="77777777" w:rsidTr="00A117FF">
        <w:trPr>
          <w:tblCellSpacing w:w="0" w:type="dxa"/>
          <w:jc w:val="center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6DB0D" w14:textId="77777777" w:rsidR="00FD47AE" w:rsidRPr="00E00286" w:rsidRDefault="00FD47AE" w:rsidP="00BB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E5C3D" w14:textId="7D10A3AC" w:rsidR="00FD47AE" w:rsidRPr="00E00286" w:rsidRDefault="00A768CA" w:rsidP="00A7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553D3" w14:textId="4CCCAFA4" w:rsidR="0070375F" w:rsidRPr="00E00286" w:rsidRDefault="00A768CA" w:rsidP="00FB37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Зменшення кількості суб’єктів господарювання, які можуть отримати </w:t>
            </w:r>
            <w:r w:rsidR="00FB3763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фінансову допомогу</w:t>
            </w:r>
          </w:p>
        </w:tc>
      </w:tr>
      <w:tr w:rsidR="00DF3CC4" w:rsidRPr="00E00286" w14:paraId="7727EE3D" w14:textId="77777777" w:rsidTr="00A117FF">
        <w:trPr>
          <w:tblCellSpacing w:w="0" w:type="dxa"/>
          <w:jc w:val="center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C573C" w14:textId="77777777" w:rsidR="00FD47AE" w:rsidRPr="00E00286" w:rsidRDefault="00FD0437" w:rsidP="00BB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B9195" w14:textId="6563EE6D" w:rsidR="00BA0934" w:rsidRPr="00E00286" w:rsidRDefault="00A768CA" w:rsidP="00A768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C3486" w14:textId="581899BD" w:rsidR="00CC2989" w:rsidRPr="00E00286" w:rsidRDefault="00A768CA" w:rsidP="00FB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Зменшення кількості суб’єктів господарювання, які можуть отримати </w:t>
            </w:r>
            <w:r w:rsidR="00FB3763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фінансову допомогу</w:t>
            </w:r>
          </w:p>
        </w:tc>
      </w:tr>
      <w:tr w:rsidR="0069427B" w:rsidRPr="00E00286" w14:paraId="4F75C972" w14:textId="77777777" w:rsidTr="00A117FF">
        <w:trPr>
          <w:tblCellSpacing w:w="0" w:type="dxa"/>
          <w:jc w:val="center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D9B95" w14:textId="3454D7AF" w:rsidR="0069427B" w:rsidRPr="00E00286" w:rsidRDefault="0069427B" w:rsidP="00BB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6721B" w14:textId="2E53C4B5" w:rsidR="0069427B" w:rsidRPr="00E00286" w:rsidRDefault="002729E6" w:rsidP="004828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Збільшується кількість </w:t>
            </w:r>
            <w:r w:rsidR="0048285C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суб’єктів господарю</w:t>
            </w:r>
            <w:r w:rsidR="00FB3763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вання, які </w:t>
            </w:r>
            <w:r w:rsidR="00FB3763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можуть отримати фінансову допомогу</w:t>
            </w:r>
            <w:r w:rsidR="0048285C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C5669" w14:textId="3ED10794" w:rsidR="000126D1" w:rsidRPr="00E00286" w:rsidRDefault="000126D1" w:rsidP="0001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Витрати на реалізацію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відповідно до М-Тесту за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перший рік регулювання                </w:t>
            </w:r>
            <w:r w:rsidR="00036FE9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12 960,00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57F43A84" w14:textId="6219E279" w:rsidR="0069427B" w:rsidRPr="00852CE6" w:rsidRDefault="000126D1" w:rsidP="00012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Витрати великого та середнього підприємництва за перший рік регулювання </w:t>
            </w:r>
            <w:r w:rsidR="00530BF5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216A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51216A" w:rsidRPr="00852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23</w:t>
            </w:r>
            <w:r w:rsidR="00530BF5" w:rsidRPr="00852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1216A" w:rsidRPr="00852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840</w:t>
            </w:r>
            <w:r w:rsidR="0051216A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,00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r w:rsidR="005C6FF2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568513D8" w14:textId="77777777" w:rsidR="002A1ACD" w:rsidRPr="00E00286" w:rsidRDefault="002A1ACD" w:rsidP="000E3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EC8F99" w14:textId="77777777" w:rsidR="00D06A05" w:rsidRPr="00E00286" w:rsidRDefault="00D06A05" w:rsidP="00D06A0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E002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ВИТРАТИ</w:t>
      </w:r>
      <w:r w:rsidRPr="00E0028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br/>
      </w:r>
      <w:r w:rsidRPr="00E002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E002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акта</w:t>
      </w:r>
      <w:proofErr w:type="spell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5626"/>
        <w:gridCol w:w="1144"/>
        <w:gridCol w:w="1144"/>
      </w:tblGrid>
      <w:tr w:rsidR="00D06A05" w:rsidRPr="00E00286" w14:paraId="286026FE" w14:textId="77777777" w:rsidTr="003D26CB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D28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178"/>
            <w:bookmarkEnd w:id="1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Порядковий номер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3292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105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перший рік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27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п’ять років</w:t>
            </w:r>
          </w:p>
        </w:tc>
      </w:tr>
      <w:tr w:rsidR="00D06A05" w:rsidRPr="00E00286" w14:paraId="4820EA6B" w14:textId="77777777" w:rsidTr="003D26CB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49B7E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DF39D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78269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2CEB5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33222C99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CDDDAB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DB7F2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469C0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D701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7DB3B417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5C85E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48F5E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D0574" w14:textId="179CDFBA" w:rsidR="00D06A05" w:rsidRPr="00E00286" w:rsidRDefault="005B28D9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</w:t>
            </w:r>
            <w:r w:rsidR="00FC66D2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840</w:t>
            </w:r>
            <w:r w:rsidR="006217FF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  <w:r w:rsidR="00D06A0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71A2B" w14:textId="783F93F2" w:rsidR="00D06A05" w:rsidRPr="00E00286" w:rsidRDefault="006217FF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B28D9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9</w:t>
            </w:r>
            <w:r w:rsidR="00FC66D2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="005B28D9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200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  <w:r w:rsidR="00D06A0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  <w:tr w:rsidR="00D06A05" w:rsidRPr="00E00286" w14:paraId="0FBD120A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0D9B4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CB845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5D58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C96AC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1F9D1F31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9BD08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5CCF9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549F8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37CF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0E607EE0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C25505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47FD3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8A7C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96D3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2D0B9822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F0165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4EB14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Витрати, пов’язані із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наймом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B4D4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1B0E2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27DE27F3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8158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E0F2A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Інше (гривень):</w:t>
            </w:r>
          </w:p>
          <w:p w14:paraId="5258B086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Аналіз документів отримувача на відповідність вимогам Положення;</w:t>
            </w:r>
          </w:p>
          <w:p w14:paraId="2F78DEAB" w14:textId="7CD91F6C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Підготовка та надання Департаменту Реєстру погодження отримувачів, </w:t>
            </w:r>
            <w:r w:rsidR="00FB3763"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 можуть претендувати на фінансову допомогу</w:t>
            </w: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4B0325BB" w14:textId="08BC9F52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Підготовка та надання Департаменту Реєст</w:t>
            </w:r>
            <w:r w:rsidR="00FB3763"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 отримувачів  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52CB4815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Перерахування коштів на поточні рахунки отримувачів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91C9A" w14:textId="79A705F7" w:rsidR="00D06A05" w:rsidRPr="00E00286" w:rsidRDefault="005B28D9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lastRenderedPageBreak/>
              <w:t>4</w:t>
            </w:r>
            <w:r w:rsidR="00FC66D2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416,00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B2B05" w14:textId="5E18D4C2" w:rsidR="00D06A05" w:rsidRPr="00E00286" w:rsidRDefault="005B28D9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22</w:t>
            </w:r>
            <w:r w:rsidR="00FC66D2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080,00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  <w:tr w:rsidR="00D06A05" w:rsidRPr="00E00286" w14:paraId="10CD8067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F538C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4D32A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5B9A9" w14:textId="494DDB34" w:rsidR="00D06A05" w:rsidRPr="00E00286" w:rsidRDefault="005B28D9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8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256,00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708C91" w14:textId="105FE12B" w:rsidR="00D06A05" w:rsidRPr="00E00286" w:rsidRDefault="005B28D9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41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280</w:t>
            </w:r>
            <w:r w:rsidR="006217FF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  <w:tr w:rsidR="00D06A05" w:rsidRPr="00E00286" w14:paraId="43364EBE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3AE49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1E936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C630E" w14:textId="3940350C" w:rsidR="00D06A05" w:rsidRPr="00E00286" w:rsidRDefault="00954030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50F0E5" w14:textId="50DEEF5A" w:rsidR="00D06A05" w:rsidRPr="00E00286" w:rsidRDefault="00954030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</w:tr>
      <w:tr w:rsidR="00D06A05" w:rsidRPr="00E00286" w14:paraId="07753EC2" w14:textId="77777777" w:rsidTr="00717E54">
        <w:trPr>
          <w:jc w:val="center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77A8C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31817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0FE180" w14:textId="34A2CA06" w:rsidR="00D06A05" w:rsidRPr="00E00286" w:rsidRDefault="006217FF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5B28D9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23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="005B28D9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840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ADFB7" w14:textId="642D2936" w:rsidR="00D06A05" w:rsidRPr="00E00286" w:rsidRDefault="005B28D9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619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200</w:t>
            </w:r>
            <w:r w:rsidR="00D06A0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грн</w:t>
            </w:r>
          </w:p>
        </w:tc>
      </w:tr>
    </w:tbl>
    <w:p w14:paraId="37F552B2" w14:textId="77777777" w:rsidR="00D06A05" w:rsidRPr="00E00286" w:rsidRDefault="00D06A05" w:rsidP="00D06A05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bookmarkStart w:id="2" w:name="n179"/>
      <w:bookmarkEnd w:id="2"/>
      <w:r w:rsidRPr="00E0028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1620"/>
        <w:gridCol w:w="1542"/>
        <w:gridCol w:w="1695"/>
      </w:tblGrid>
      <w:tr w:rsidR="00D06A05" w:rsidRPr="00E00286" w14:paraId="5705FB79" w14:textId="77777777" w:rsidTr="00BA6E0B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55AC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3" w:name="n180"/>
            <w:bookmarkEnd w:id="3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8D9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перший рік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99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Періодичні (за рік)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41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74455877" w14:textId="77777777" w:rsidTr="00BA6E0B">
        <w:tc>
          <w:tcPr>
            <w:tcW w:w="24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8D40FA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027F8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E232A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BF2D9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7AD156A8" w14:textId="77777777" w:rsidTr="00BA6E0B"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C02C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4" w:name="n181"/>
            <w:bookmarkEnd w:id="4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240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552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6004396E" w14:textId="77777777" w:rsidTr="00BA6E0B">
        <w:tc>
          <w:tcPr>
            <w:tcW w:w="2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F66769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A151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6F29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1D1C16DE" w14:textId="77777777" w:rsidR="00D06A05" w:rsidRPr="00E00286" w:rsidRDefault="00D06A05" w:rsidP="00D0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val="uk-UA" w:eastAsia="uk-UA"/>
        </w:rPr>
      </w:pPr>
      <w:bookmarkStart w:id="5" w:name="n182"/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1717"/>
        <w:gridCol w:w="1716"/>
        <w:gridCol w:w="1620"/>
        <w:gridCol w:w="1430"/>
      </w:tblGrid>
      <w:tr w:rsidR="00D06A05" w:rsidRPr="00E00286" w14:paraId="2CE47F22" w14:textId="77777777" w:rsidTr="003D26CB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752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F93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0A3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оплату штрафних санкцій за рік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D78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рік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4B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1672DB0E" w14:textId="77777777" w:rsidTr="003D26CB">
        <w:tc>
          <w:tcPr>
            <w:tcW w:w="15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E13D7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Витрати, пов’язані із веденням обліку, </w:t>
            </w: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7C0CCD" w14:textId="1D161D20" w:rsidR="00D06A05" w:rsidRPr="00E00286" w:rsidRDefault="00872034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3 840</w:t>
            </w:r>
            <w:r w:rsidR="006217FF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,00 </w:t>
            </w:r>
            <w:r w:rsidR="00C119C5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3EB5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749E9" w14:textId="41CFC462" w:rsidR="00D06A05" w:rsidRPr="00E00286" w:rsidRDefault="00872034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3 840</w:t>
            </w:r>
            <w:r w:rsidR="0051216A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 грн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B2E10" w14:textId="0ABA47FF" w:rsidR="00D06A05" w:rsidRPr="00E00286" w:rsidRDefault="00872034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19 200</w:t>
            </w:r>
            <w:r w:rsidR="0051216A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 грн</w:t>
            </w:r>
          </w:p>
        </w:tc>
      </w:tr>
    </w:tbl>
    <w:p w14:paraId="4F4A6740" w14:textId="77777777" w:rsidR="00D06A05" w:rsidRPr="00E00286" w:rsidRDefault="00D06A05" w:rsidP="00D06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bookmarkStart w:id="6" w:name="n183"/>
      <w:bookmarkEnd w:id="6"/>
      <w:r w:rsidRPr="00E00286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uk-UA"/>
        </w:rPr>
        <w:t>_________</w:t>
      </w:r>
      <w:r w:rsidRPr="00E0028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br/>
      </w:r>
      <w:r w:rsidRPr="00E00286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2289"/>
        <w:gridCol w:w="1620"/>
        <w:gridCol w:w="1239"/>
        <w:gridCol w:w="1239"/>
      </w:tblGrid>
      <w:tr w:rsidR="00D06A05" w:rsidRPr="00E00286" w14:paraId="2A3C619C" w14:textId="77777777" w:rsidTr="003D26CB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E0CE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7" w:name="n184"/>
            <w:bookmarkEnd w:id="7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7E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651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CB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рік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A89D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28B8E12E" w14:textId="77777777" w:rsidTr="003D26CB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95797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2255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FE44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672D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11254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7A3722F" w14:textId="77777777" w:rsidR="00D06A05" w:rsidRPr="00E00286" w:rsidRDefault="00D06A05" w:rsidP="00D06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bookmarkStart w:id="8" w:name="n185"/>
      <w:bookmarkEnd w:id="8"/>
      <w:r w:rsidRPr="00E00286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uk-UA"/>
        </w:rPr>
        <w:t>__________</w:t>
      </w:r>
      <w:r w:rsidRPr="00E0028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br/>
      </w:r>
      <w:r w:rsidRPr="00E00286"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667"/>
        <w:gridCol w:w="1049"/>
        <w:gridCol w:w="858"/>
        <w:gridCol w:w="1049"/>
        <w:gridCol w:w="953"/>
        <w:gridCol w:w="667"/>
        <w:gridCol w:w="1144"/>
      </w:tblGrid>
      <w:tr w:rsidR="00D06A05" w:rsidRPr="00E00286" w14:paraId="70923F99" w14:textId="77777777" w:rsidTr="003D26CB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521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9" w:name="n186"/>
            <w:bookmarkEnd w:id="9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F33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40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BEC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 за рік (стартовий)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71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70C4D0B7" w14:textId="77777777" w:rsidTr="003D26CB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9EB3DD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66F2B0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7915C4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44D325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65359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D06A05" w:rsidRPr="00E00286" w14:paraId="61228D9A" w14:textId="77777777" w:rsidTr="003D26CB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02E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0" w:name="n187"/>
            <w:bookmarkEnd w:id="10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Вид витрат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CAA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рік (стартовий)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9F2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Періодичні</w:t>
            </w: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B7A1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 п’ять років</w:t>
            </w:r>
          </w:p>
        </w:tc>
      </w:tr>
      <w:tr w:rsidR="00D06A05" w:rsidRPr="00E00286" w14:paraId="4CF0F188" w14:textId="77777777" w:rsidTr="003D26CB">
        <w:tc>
          <w:tcPr>
            <w:tcW w:w="19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F3F4A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BB46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54A7EF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B77D4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26ECF5D" w14:textId="77777777" w:rsidR="00D06A05" w:rsidRPr="00E00286" w:rsidRDefault="00D06A05" w:rsidP="00D06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val="uk-UA" w:eastAsia="uk-UA"/>
        </w:rPr>
      </w:pPr>
      <w:bookmarkStart w:id="11" w:name="n188"/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3910"/>
        <w:gridCol w:w="1716"/>
      </w:tblGrid>
      <w:tr w:rsidR="00D06A05" w:rsidRPr="00E00286" w14:paraId="04671CD4" w14:textId="77777777" w:rsidTr="003D26CB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E47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 витрат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4F3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018" w14:textId="77777777" w:rsidR="00D06A05" w:rsidRPr="00E00286" w:rsidRDefault="00D06A05" w:rsidP="00D06A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за</w:t>
            </w: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п’ять років</w:t>
            </w:r>
          </w:p>
        </w:tc>
      </w:tr>
      <w:tr w:rsidR="00D06A05" w:rsidRPr="00E00286" w14:paraId="3E6556FE" w14:textId="77777777" w:rsidTr="003D26CB">
        <w:tc>
          <w:tcPr>
            <w:tcW w:w="19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C997E8" w14:textId="77777777" w:rsidR="00D06A05" w:rsidRPr="00E00286" w:rsidRDefault="00D06A05" w:rsidP="00D06A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Витрати, пов’язані із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наймом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додаткового персоналу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D2D" w14:textId="77777777" w:rsidR="00D06A05" w:rsidRPr="00E00286" w:rsidRDefault="00D06A05" w:rsidP="00D0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3C2D" w14:textId="77777777" w:rsidR="00D06A05" w:rsidRPr="00E00286" w:rsidRDefault="00D06A05" w:rsidP="00D0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14:paraId="148FABDD" w14:textId="409FC163" w:rsidR="00D06A05" w:rsidRPr="00E00286" w:rsidRDefault="00D06A05" w:rsidP="00D06A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CAC7DC" w14:textId="3D62150B" w:rsidR="00ED0D4B" w:rsidRPr="00E00286" w:rsidRDefault="00ED0D4B" w:rsidP="00D06A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4997" w:type="pct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4"/>
        <w:gridCol w:w="2925"/>
      </w:tblGrid>
      <w:tr w:rsidR="00ED0D4B" w:rsidRPr="00E00286" w14:paraId="16A2DBDB" w14:textId="77777777" w:rsidTr="003D26CB"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891DA" w14:textId="77777777" w:rsidR="00ED0D4B" w:rsidRPr="00E00286" w:rsidRDefault="00ED0D4B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05326" w14:textId="77777777" w:rsidR="00ED0D4B" w:rsidRPr="00E00286" w:rsidRDefault="00ED0D4B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Сума витрат, гривень</w:t>
            </w:r>
          </w:p>
        </w:tc>
      </w:tr>
      <w:tr w:rsidR="00ED0D4B" w:rsidRPr="00E00286" w14:paraId="61255A3C" w14:textId="77777777" w:rsidTr="003D26CB">
        <w:tc>
          <w:tcPr>
            <w:tcW w:w="34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0D92E90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Альтернатива 1.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”)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98650C4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14:paraId="52824F9B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14:paraId="26DC0129" w14:textId="40D5509C" w:rsidR="00ED0D4B" w:rsidRPr="00E00286" w:rsidRDefault="00ED0D4B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Обчислити неможливо</w:t>
            </w:r>
          </w:p>
        </w:tc>
      </w:tr>
      <w:tr w:rsidR="00ED0D4B" w:rsidRPr="00E00286" w14:paraId="34C7B080" w14:textId="77777777" w:rsidTr="00ED0D4B">
        <w:tc>
          <w:tcPr>
            <w:tcW w:w="3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1039B0E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”)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094E54B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14:paraId="0549ED9D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14:paraId="326055C8" w14:textId="2B2D5606" w:rsidR="00ED0D4B" w:rsidRPr="00E00286" w:rsidRDefault="00ED0D4B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Обчислити неможливо</w:t>
            </w:r>
          </w:p>
        </w:tc>
      </w:tr>
      <w:tr w:rsidR="00ED0D4B" w:rsidRPr="00E00286" w14:paraId="440F6D0C" w14:textId="77777777" w:rsidTr="00ED0D4B">
        <w:tc>
          <w:tcPr>
            <w:tcW w:w="3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BCAE5FB" w14:textId="77777777" w:rsidR="00ED0D4B" w:rsidRPr="00E00286" w:rsidRDefault="00ED0D4B" w:rsidP="00ED0D4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Альтернатива 3.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”)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581A11B" w14:textId="77777777" w:rsidR="00ED0D4B" w:rsidRPr="00E00286" w:rsidRDefault="00ED0D4B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14:paraId="61E5B2F6" w14:textId="14B48E2A" w:rsidR="00ED0D4B" w:rsidRPr="00E00286" w:rsidRDefault="0061266A" w:rsidP="00ED0D4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123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840</w:t>
            </w:r>
            <w:r w:rsidR="00ED0D4B" w:rsidRPr="00E0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,00 грн</w:t>
            </w:r>
          </w:p>
        </w:tc>
      </w:tr>
    </w:tbl>
    <w:p w14:paraId="0941B1F4" w14:textId="77777777" w:rsidR="00ED0D4B" w:rsidRPr="00E00286" w:rsidRDefault="00ED0D4B" w:rsidP="00D06A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063984" w14:textId="77777777" w:rsidR="001B12D7" w:rsidRPr="00E00286" w:rsidRDefault="002B0956" w:rsidP="002B0956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IV. Вибір</w:t>
      </w:r>
      <w:r w:rsidR="00E93032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найбільш оптимального</w:t>
      </w:r>
      <w:r w:rsidR="00E93032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12D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альтернативного способу досягнення</w:t>
      </w:r>
      <w:r w:rsidR="00E93032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B12D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цілей</w:t>
      </w:r>
    </w:p>
    <w:p w14:paraId="256C2817" w14:textId="77777777" w:rsidR="001E3D1B" w:rsidRPr="00E00286" w:rsidRDefault="001E3D1B" w:rsidP="002B0956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D96061" w14:textId="77777777" w:rsidR="001B12D7" w:rsidRPr="00E00286" w:rsidRDefault="001B12D7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Єдиним способом розв’язання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вищезазначен</w:t>
      </w:r>
      <w:r w:rsidR="002B0956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проблем, що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відповідає потребам та забезпечує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поступове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встановлених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цілей, є видання</w:t>
      </w:r>
      <w:r w:rsidR="00E9303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зазначеного регуляторного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794118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536AF0" w14:textId="77777777" w:rsidR="001B12D7" w:rsidRPr="00E00286" w:rsidRDefault="001B12D7" w:rsidP="002B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 </w:t>
      </w:r>
    </w:p>
    <w:tbl>
      <w:tblPr>
        <w:tblW w:w="92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078"/>
        <w:gridCol w:w="3868"/>
      </w:tblGrid>
      <w:tr w:rsidR="00DF3CC4" w:rsidRPr="00E00286" w14:paraId="299A61FC" w14:textId="77777777" w:rsidTr="00794118">
        <w:trPr>
          <w:tblCellSpacing w:w="0" w:type="dxa"/>
          <w:jc w:val="center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A6322" w14:textId="77777777" w:rsidR="001B12D7" w:rsidRPr="00E00286" w:rsidRDefault="001B12D7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Рейтинг результативності (досягнення</w:t>
            </w:r>
            <w:r w:rsidR="008A0D2D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цілей</w:t>
            </w:r>
            <w:r w:rsidR="008A0D2D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 час вирішення</w:t>
            </w:r>
            <w:r w:rsidR="008A0D2D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проблеми)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A098F" w14:textId="77777777" w:rsidR="001B12D7" w:rsidRPr="00E00286" w:rsidRDefault="001B12D7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D96AE" w14:textId="77777777" w:rsidR="001B12D7" w:rsidRPr="00E00286" w:rsidRDefault="001B12D7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Коментарі</w:t>
            </w:r>
            <w:r w:rsidR="00DC0E58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="00DC0E58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присвоєння</w:t>
            </w:r>
            <w:r w:rsidR="00DC0E58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</w:t>
            </w:r>
            <w:proofErr w:type="spellEnd"/>
          </w:p>
        </w:tc>
      </w:tr>
      <w:tr w:rsidR="00DF3CC4" w:rsidRPr="00E00286" w14:paraId="369223AA" w14:textId="77777777" w:rsidTr="00794118">
        <w:trPr>
          <w:tblCellSpacing w:w="0" w:type="dxa"/>
          <w:jc w:val="center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D30C" w14:textId="77777777" w:rsidR="001B12D7" w:rsidRPr="00E00286" w:rsidRDefault="001B12D7" w:rsidP="002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2651" w14:textId="6447241A" w:rsidR="001B12D7" w:rsidRPr="00E00286" w:rsidRDefault="0069427B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9253" w14:textId="17C44527" w:rsidR="002118A0" w:rsidRPr="00E00286" w:rsidRDefault="002A1ACD" w:rsidP="00E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B12D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изначена проблема продовжує</w:t>
            </w:r>
            <w:r w:rsidR="00DC0E58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12D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існувати і не може бути розв’язана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оскільки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</w:t>
            </w:r>
            <w:r w:rsidR="002118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береження чинного регулювання не дає змоги досягнути </w:t>
            </w:r>
            <w:r w:rsidR="00E8660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цілей</w:t>
            </w:r>
            <w:r w:rsidR="002118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держ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авного регулювання, визначен</w:t>
            </w:r>
            <w:r w:rsidR="00E8660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118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розділі</w:t>
            </w:r>
            <w:r w:rsidR="002118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</w:t>
            </w:r>
            <w:r w:rsidR="002118A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цьо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 аналізу регуляторного впливу</w:t>
            </w:r>
          </w:p>
        </w:tc>
      </w:tr>
      <w:tr w:rsidR="00DF3CC4" w:rsidRPr="00E00286" w14:paraId="42643E66" w14:textId="77777777" w:rsidTr="00794118">
        <w:trPr>
          <w:tblCellSpacing w:w="0" w:type="dxa"/>
          <w:jc w:val="center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F07DD" w14:textId="77777777" w:rsidR="001B12D7" w:rsidRPr="00E00286" w:rsidRDefault="00236A0B" w:rsidP="002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D7604" w14:textId="17CB5798" w:rsidR="001B12D7" w:rsidRPr="00E00286" w:rsidRDefault="005C7234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033E" w14:textId="40D94636" w:rsidR="001B12D7" w:rsidRPr="00E00286" w:rsidRDefault="00DB4F5E" w:rsidP="002A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досягаються цілі регулювання</w:t>
            </w:r>
          </w:p>
        </w:tc>
      </w:tr>
      <w:tr w:rsidR="0069427B" w:rsidRPr="00553589" w14:paraId="599014F0" w14:textId="77777777" w:rsidTr="00794118">
        <w:trPr>
          <w:tblCellSpacing w:w="0" w:type="dxa"/>
          <w:jc w:val="center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47113" w14:textId="160DAC9F" w:rsidR="0069427B" w:rsidRPr="00E00286" w:rsidRDefault="0069427B" w:rsidP="002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2DC84" w14:textId="05B79330" w:rsidR="0069427B" w:rsidRPr="00E00286" w:rsidRDefault="005C7234" w:rsidP="002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27C1D" w14:textId="1A80E048" w:rsidR="0069427B" w:rsidRPr="00E00286" w:rsidRDefault="005C7234" w:rsidP="002118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 найбільш прийнятним та ефективним способом, який дозволить досягти повною мірою цілі державного регулювання, визначеної у розділі ІІ цьо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 аналізу регуляторного впливу</w:t>
            </w:r>
          </w:p>
        </w:tc>
      </w:tr>
    </w:tbl>
    <w:p w14:paraId="1ABA9B2F" w14:textId="5C5E5E82" w:rsidR="001B12D7" w:rsidRPr="00E00286" w:rsidRDefault="00794118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Обраний спосіб відповідає діючому законодавству, зокрема, Закону України «Про місцеве</w:t>
      </w:r>
      <w:r w:rsidR="00CF0B4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самов</w:t>
      </w:r>
      <w:r w:rsidR="000711D3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рядування в Україні», </w:t>
      </w: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столицю</w:t>
      </w:r>
      <w:r w:rsidR="00CF0B42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738D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– місто-герой Київ».</w:t>
      </w:r>
    </w:p>
    <w:p w14:paraId="2B5C9597" w14:textId="77777777" w:rsidR="007B738D" w:rsidRPr="00E00286" w:rsidRDefault="007B738D" w:rsidP="00071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693"/>
        <w:gridCol w:w="2401"/>
      </w:tblGrid>
      <w:tr w:rsidR="00DF3CC4" w:rsidRPr="00E00286" w14:paraId="5FBEA921" w14:textId="77777777" w:rsidTr="00DA2059">
        <w:trPr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2289" w14:textId="77777777" w:rsidR="001B12D7" w:rsidRPr="00E00286" w:rsidRDefault="001B12D7" w:rsidP="00C4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987AF" w14:textId="77777777" w:rsidR="001B12D7" w:rsidRPr="00E00286" w:rsidRDefault="001B12D7" w:rsidP="00C4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1AF7" w14:textId="77777777" w:rsidR="001B12D7" w:rsidRPr="00E00286" w:rsidRDefault="001B12D7" w:rsidP="00C4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26021" w14:textId="77777777" w:rsidR="001B12D7" w:rsidRPr="00E00286" w:rsidRDefault="001B12D7" w:rsidP="00C4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  <w:r w:rsidR="00DF3CC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відповідного</w:t>
            </w:r>
            <w:r w:rsidR="00DF3CC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місця</w:t>
            </w:r>
            <w:r w:rsidR="00DF3CC4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альтернативи у рейтингу</w:t>
            </w:r>
          </w:p>
        </w:tc>
      </w:tr>
      <w:tr w:rsidR="00CB0AA2" w:rsidRPr="00E00286" w14:paraId="0CE49970" w14:textId="77777777" w:rsidTr="00DA2059">
        <w:trPr>
          <w:trHeight w:val="900"/>
          <w:tblCellSpacing w:w="0" w:type="dxa"/>
          <w:jc w:val="center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06B3A58" w14:textId="77777777" w:rsidR="00CB0AA2" w:rsidRPr="00E00286" w:rsidRDefault="00CB0AA2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A1644" w14:textId="77777777" w:rsidR="00CB0AA2" w:rsidRPr="00E00286" w:rsidRDefault="00CB0AA2" w:rsidP="0021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держави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4424EF71" w14:textId="77777777" w:rsidR="00CB0AA2" w:rsidRPr="00E00286" w:rsidRDefault="00CB0AA2" w:rsidP="004A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14:paraId="5802997E" w14:textId="77777777" w:rsidR="00CB0AA2" w:rsidRPr="00E00286" w:rsidRDefault="00CB0AA2" w:rsidP="002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B6660A3" w14:textId="77777777" w:rsidR="00CB0AA2" w:rsidRPr="00E00286" w:rsidRDefault="00CB0AA2" w:rsidP="002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19643E8" w14:textId="77777777" w:rsidR="00CB0AA2" w:rsidRPr="00E00286" w:rsidRDefault="00CB0AA2" w:rsidP="00211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AED9879" w14:textId="77777777" w:rsidR="00CB0AA2" w:rsidRPr="00E00286" w:rsidRDefault="00CB0AA2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F6447" w14:textId="77777777" w:rsidR="00CB0AA2" w:rsidRPr="00E00286" w:rsidRDefault="00CB0AA2" w:rsidP="00E8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держави:</w:t>
            </w:r>
          </w:p>
          <w:p w14:paraId="139253DB" w14:textId="7E7F2E73" w:rsidR="00CB0AA2" w:rsidRPr="00E00286" w:rsidRDefault="003E446E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Зменшуєть</w:t>
            </w:r>
            <w:r w:rsidR="00DD019D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ся кількість отримувачів 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тягне за собою зменшення надходжень від сплати податків, зборів та інших обов’язкових плат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ежів до бюджетів різних рівнів</w:t>
            </w:r>
          </w:p>
        </w:tc>
        <w:tc>
          <w:tcPr>
            <w:tcW w:w="24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FA7A151" w14:textId="77777777" w:rsidR="00CB0AA2" w:rsidRPr="00E00286" w:rsidRDefault="00CB0AA2" w:rsidP="00E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Визначена проблема продовжує існувати і не може бути розв’язана оскільки збереження чинного регулювання не дає змоги досягнути цілі державного регулювання,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визначеної у розділі ІІ цього аналізу регуляторного впливу.</w:t>
            </w:r>
          </w:p>
        </w:tc>
      </w:tr>
      <w:tr w:rsidR="00CB0AA2" w:rsidRPr="00E00286" w14:paraId="3020313E" w14:textId="77777777" w:rsidTr="00DA2059">
        <w:trPr>
          <w:trHeight w:val="2622"/>
          <w:tblCellSpacing w:w="0" w:type="dxa"/>
          <w:jc w:val="center"/>
        </w:trPr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D5477E9" w14:textId="77777777" w:rsidR="00CB0AA2" w:rsidRPr="00E00286" w:rsidRDefault="00CB0AA2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0A348" w14:textId="77777777" w:rsidR="00823656" w:rsidRPr="00E00286" w:rsidRDefault="00823656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65B506C0" w14:textId="77777777" w:rsidR="00823656" w:rsidRPr="00E00286" w:rsidRDefault="00823656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  <w:p w14:paraId="4C88E4F5" w14:textId="77777777" w:rsidR="00CB0AA2" w:rsidRPr="00E00286" w:rsidRDefault="00CB0AA2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F96D8" w14:textId="77777777" w:rsidR="00823656" w:rsidRPr="00E00286" w:rsidRDefault="00823656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3AC47780" w14:textId="3485AFE7" w:rsidR="00CB0AA2" w:rsidRPr="00E00286" w:rsidRDefault="00DC7B4F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Втрата додаткової кількості робочих місць </w:t>
            </w:r>
          </w:p>
        </w:tc>
        <w:tc>
          <w:tcPr>
            <w:tcW w:w="24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2943F1" w14:textId="77777777" w:rsidR="00CB0AA2" w:rsidRPr="00E00286" w:rsidRDefault="00CB0AA2" w:rsidP="00E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AA2" w:rsidRPr="00E00286" w14:paraId="038CEB8D" w14:textId="77777777" w:rsidTr="00DA2059">
        <w:trPr>
          <w:trHeight w:val="947"/>
          <w:tblCellSpacing w:w="0" w:type="dxa"/>
          <w:jc w:val="center"/>
        </w:trPr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30A8C" w14:textId="77777777" w:rsidR="00CB0AA2" w:rsidRPr="00E00286" w:rsidRDefault="00CB0AA2" w:rsidP="00C47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710F" w14:textId="77777777" w:rsidR="00823656" w:rsidRPr="00E00286" w:rsidRDefault="00823656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64886D41" w14:textId="64EB09EA" w:rsidR="00CB0AA2" w:rsidRPr="00E00286" w:rsidRDefault="00823656" w:rsidP="007F7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Відсутні </w:t>
            </w:r>
            <w:r w:rsidR="00D628C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D09FD" w14:textId="77777777" w:rsidR="00823656" w:rsidRPr="00E00286" w:rsidRDefault="00823656" w:rsidP="00823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60D452FE" w14:textId="2DC5FB5E" w:rsidR="00CB0AA2" w:rsidRPr="00E00286" w:rsidRDefault="00DC7B4F" w:rsidP="003D2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Зменшення кількості суб’єктів господарювання, які можуть отримати </w:t>
            </w:r>
            <w:r w:rsidR="003D26CB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фінансову допомогу</w:t>
            </w:r>
          </w:p>
        </w:tc>
        <w:tc>
          <w:tcPr>
            <w:tcW w:w="24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0C831" w14:textId="77777777" w:rsidR="00CB0AA2" w:rsidRPr="00E00286" w:rsidRDefault="00CB0AA2" w:rsidP="00E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5472" w:rsidRPr="00E00286" w14:paraId="2FF9B453" w14:textId="77777777" w:rsidTr="00DA2059">
        <w:trPr>
          <w:trHeight w:val="2900"/>
          <w:tblCellSpacing w:w="0" w:type="dxa"/>
          <w:jc w:val="center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DF1EA7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7B2A6" w14:textId="77777777" w:rsidR="009F5472" w:rsidRPr="00E00286" w:rsidRDefault="009F5472" w:rsidP="005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держави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567D7D2B" w14:textId="1C947809" w:rsidR="009F5472" w:rsidRPr="00E00286" w:rsidRDefault="00F5131B" w:rsidP="0055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14:paraId="2737C5EC" w14:textId="77777777" w:rsidR="009F5472" w:rsidRPr="00E00286" w:rsidRDefault="009F5472" w:rsidP="0055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08E2202" w14:textId="18C15325" w:rsidR="009F5472" w:rsidRPr="00E00286" w:rsidRDefault="009F5472" w:rsidP="0055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7BB9373" w14:textId="77777777" w:rsidR="009F5472" w:rsidRPr="00E00286" w:rsidRDefault="009F5472" w:rsidP="0055576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146BD6" w14:textId="77777777" w:rsidR="009F5472" w:rsidRPr="00E00286" w:rsidRDefault="009F5472" w:rsidP="008C194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479A80A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30636C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2ED44" w14:textId="77777777" w:rsidR="009F5472" w:rsidRPr="00E00286" w:rsidRDefault="009F5472" w:rsidP="008C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держави:</w:t>
            </w:r>
          </w:p>
          <w:p w14:paraId="2CF84946" w14:textId="796D8C2A" w:rsidR="009F5472" w:rsidRPr="00E00286" w:rsidRDefault="003E446E" w:rsidP="003D2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Зменшується кількість отримувачів </w:t>
            </w:r>
            <w:r w:rsidR="003D26CB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фінансової допомоги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тягне за собою зменшення надходжень від сплати податків, зборів та інших обов’язкових пла</w:t>
            </w:r>
            <w:r w:rsidR="00DB4F5E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тежів до бюджетів різних рівнів</w:t>
            </w:r>
          </w:p>
        </w:tc>
        <w:tc>
          <w:tcPr>
            <w:tcW w:w="24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E60F0" w14:textId="37A97853" w:rsidR="009F5472" w:rsidRPr="00E00286" w:rsidRDefault="00B97A0C" w:rsidP="00AA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</w:t>
            </w:r>
            <w:r w:rsidR="00AA6961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проблема продовжить існувати.</w:t>
            </w:r>
          </w:p>
        </w:tc>
      </w:tr>
      <w:tr w:rsidR="009F5472" w:rsidRPr="00E00286" w14:paraId="1A60DDBD" w14:textId="77777777" w:rsidTr="00DA2059">
        <w:trPr>
          <w:trHeight w:val="3600"/>
          <w:tblCellSpacing w:w="0" w:type="dxa"/>
          <w:jc w:val="center"/>
        </w:trPr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5889E73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869C2" w14:textId="77777777" w:rsidR="009F5472" w:rsidRPr="00E00286" w:rsidRDefault="009F5472" w:rsidP="009F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79FE1C7A" w14:textId="781EA44D" w:rsidR="009F5472" w:rsidRPr="00E00286" w:rsidRDefault="000C7954" w:rsidP="009F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14:paraId="153386B5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EF29E" w14:textId="77777777" w:rsidR="009F5472" w:rsidRPr="00E00286" w:rsidRDefault="009F5472" w:rsidP="009F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74C39B01" w14:textId="1A082F13" w:rsidR="009F5472" w:rsidRPr="00E00286" w:rsidRDefault="00DC7B4F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Втрата додаткової кількості робочих місць </w:t>
            </w:r>
          </w:p>
        </w:tc>
        <w:tc>
          <w:tcPr>
            <w:tcW w:w="24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F1E599F" w14:textId="77777777" w:rsidR="009F5472" w:rsidRPr="00E00286" w:rsidRDefault="009F5472" w:rsidP="008C194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5472" w:rsidRPr="00E00286" w14:paraId="106783ED" w14:textId="77777777" w:rsidTr="00ED0D4B">
        <w:trPr>
          <w:trHeight w:val="2820"/>
          <w:tblCellSpacing w:w="0" w:type="dxa"/>
          <w:jc w:val="center"/>
        </w:trPr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F509E4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F779A" w14:textId="77777777" w:rsidR="009F5472" w:rsidRPr="00E00286" w:rsidRDefault="009F5472" w:rsidP="009F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47891465" w14:textId="0C917FF8" w:rsidR="009F5472" w:rsidRPr="00E00286" w:rsidRDefault="00D707D3" w:rsidP="00D7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1C292" w14:textId="77777777" w:rsidR="009F5472" w:rsidRPr="00E00286" w:rsidRDefault="009F5472" w:rsidP="009F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70E032BE" w14:textId="5CE5ADF6" w:rsidR="009F5472" w:rsidRPr="00E00286" w:rsidRDefault="00DC7B4F" w:rsidP="00D2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Зменшення кількості суб’єктів господарювання, які можуть отримати </w:t>
            </w:r>
            <w:r w:rsidR="00D20F56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фінансову допомогу</w:t>
            </w:r>
          </w:p>
        </w:tc>
        <w:tc>
          <w:tcPr>
            <w:tcW w:w="24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078ADF" w14:textId="77777777" w:rsidR="009F5472" w:rsidRPr="00E00286" w:rsidRDefault="009F5472" w:rsidP="008C194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5472" w:rsidRPr="00E00286" w14:paraId="765D6125" w14:textId="77777777" w:rsidTr="00DA2059">
        <w:trPr>
          <w:trHeight w:val="2976"/>
          <w:tblCellSpacing w:w="0" w:type="dxa"/>
          <w:jc w:val="center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4B0C1AF" w14:textId="48278C5B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2BEF36" w14:textId="77777777" w:rsidR="009F5472" w:rsidRPr="00E00286" w:rsidRDefault="009F5472" w:rsidP="00C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держави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3C0345B2" w14:textId="7B79E583" w:rsidR="009F5472" w:rsidRPr="00E00286" w:rsidRDefault="00B97A0C" w:rsidP="00AA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Додаткові надходження до міського бюджету.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6DBFA" w14:textId="77777777" w:rsidR="009F5472" w:rsidRPr="00E00286" w:rsidRDefault="009F5472" w:rsidP="00C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держави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64957F86" w14:textId="2A35BF3E" w:rsidR="009F5472" w:rsidRPr="00E00286" w:rsidRDefault="003E446E" w:rsidP="00ED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Витрати на реалізацію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відповідно до М-Тесту за перший рік регулювання                </w:t>
            </w:r>
            <w:r w:rsidR="00927405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1 041,60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4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D03FD32" w14:textId="77777777" w:rsidR="00375BF6" w:rsidRPr="00E00286" w:rsidRDefault="00375BF6" w:rsidP="00375B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 найбільш прийнятним та ефективним способом, який і дозволить досягти повною мірою цілі державного регулювання, визначеної у розділі ІІ цього аналізу регуляторного впливу.</w:t>
            </w:r>
          </w:p>
          <w:p w14:paraId="3D1518EB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64A2AEB" w14:textId="6D69BA39" w:rsidR="009F5472" w:rsidRPr="00E00286" w:rsidRDefault="00375BF6" w:rsidP="00375B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Оптимальний варіант збалансування інтересів держави, громадян та суб’єктів господарювання</w:t>
            </w:r>
          </w:p>
        </w:tc>
      </w:tr>
      <w:tr w:rsidR="009F5472" w:rsidRPr="00E00286" w14:paraId="55E588D0" w14:textId="77777777" w:rsidTr="00DA2059">
        <w:trPr>
          <w:trHeight w:val="2840"/>
          <w:tblCellSpacing w:w="0" w:type="dxa"/>
          <w:jc w:val="center"/>
        </w:trPr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84BAF35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E0D4A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361ED0D5" w14:textId="7A774CD6" w:rsidR="00DC7B4F" w:rsidRPr="00E00286" w:rsidRDefault="00DC7B4F" w:rsidP="00D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Збільшен</w:t>
            </w:r>
            <w:r w:rsidR="00D20F56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ня кількості отримувачів </w:t>
            </w:r>
            <w:r w:rsidR="00D20F56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фінансової допомоги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73E42DC" w14:textId="77777777" w:rsidR="00DC7B4F" w:rsidRPr="00E00286" w:rsidRDefault="00DC7B4F" w:rsidP="00D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Збільшення кількості робочих місць.</w:t>
            </w:r>
          </w:p>
          <w:p w14:paraId="5A8D4601" w14:textId="0A97D6B4" w:rsidR="009F5472" w:rsidRPr="00E00286" w:rsidRDefault="00DC7B4F" w:rsidP="00D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Соціалізація та зайнятість киян, які повертаються у мирне життя.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D5A8E3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Для громадян:</w:t>
            </w:r>
          </w:p>
          <w:p w14:paraId="3EBCC8EF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  <w:p w14:paraId="78C369F7" w14:textId="77777777" w:rsidR="009F5472" w:rsidRPr="00E00286" w:rsidRDefault="009F5472" w:rsidP="00C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BC529E7" w14:textId="77777777" w:rsidR="009F5472" w:rsidRPr="00E00286" w:rsidRDefault="009F5472" w:rsidP="008C194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5472" w:rsidRPr="00E00286" w14:paraId="18B90FF9" w14:textId="77777777" w:rsidTr="00ED0D4B">
        <w:trPr>
          <w:trHeight w:val="1119"/>
          <w:tblCellSpacing w:w="0" w:type="dxa"/>
          <w:jc w:val="center"/>
        </w:trPr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7DF9B" w14:textId="77777777" w:rsidR="009F5472" w:rsidRPr="00E00286" w:rsidRDefault="009F5472" w:rsidP="008C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49E26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178A1D4B" w14:textId="7AF9FC79" w:rsidR="009F5472" w:rsidRPr="00E00286" w:rsidRDefault="00DC7B4F" w:rsidP="00D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Збільшується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отримати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0F56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фінансову допомогу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9B5A2" w14:textId="77777777" w:rsidR="00375BF6" w:rsidRPr="00E00286" w:rsidRDefault="00375BF6" w:rsidP="0037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суб’єктів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14:paraId="118AEE03" w14:textId="4D519B28" w:rsidR="009F5472" w:rsidRPr="00E00286" w:rsidRDefault="00DC7B4F" w:rsidP="00ED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Загальна сума витрат суб’єктів господарювання на виконання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становитиме – відповідно до М-Тесту перший рік регулювання                                  </w:t>
            </w:r>
            <w:r w:rsidR="00036FE9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12 960,00 </w:t>
            </w:r>
            <w:r w:rsidR="007D37E6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289293E0" w14:textId="7E51264D" w:rsidR="00ED0D4B" w:rsidRPr="00E00286" w:rsidRDefault="00ED0D4B" w:rsidP="00ED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Витрати великого та середнього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підприємництва за перший рік регулювання− </w:t>
            </w:r>
            <w:r w:rsidR="00516BBB" w:rsidRPr="00852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516BBB" w:rsidRPr="00852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23 840</w:t>
            </w:r>
            <w:r w:rsidR="00516BBB"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,00 </w:t>
            </w:r>
            <w:r w:rsidRPr="00E00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24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FB2BF" w14:textId="77777777" w:rsidR="009F5472" w:rsidRPr="00E00286" w:rsidRDefault="009F5472" w:rsidP="008C194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87A587" w14:textId="77777777" w:rsidR="001B12D7" w:rsidRPr="00E00286" w:rsidRDefault="001B12D7" w:rsidP="00C47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</w:p>
    <w:tbl>
      <w:tblPr>
        <w:tblpPr w:leftFromText="180" w:rightFromText="180" w:vertAnchor="text" w:tblpXSpec="center" w:tblpY="1"/>
        <w:tblOverlap w:val="never"/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3593"/>
        <w:gridCol w:w="2784"/>
      </w:tblGrid>
      <w:tr w:rsidR="00DF3CC4" w:rsidRPr="00E00286" w14:paraId="30DB7C5F" w14:textId="77777777" w:rsidTr="001D1764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E990" w14:textId="77777777" w:rsidR="001B12D7" w:rsidRPr="00E00286" w:rsidRDefault="001B12D7" w:rsidP="001D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DF1A9" w14:textId="77777777" w:rsidR="001B12D7" w:rsidRPr="00E00286" w:rsidRDefault="001B12D7" w:rsidP="001D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Аргументи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переваги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обраної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альтернативи/причини відмови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альтернативи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CAAA6" w14:textId="77777777" w:rsidR="001B12D7" w:rsidRPr="00E00286" w:rsidRDefault="001B12D7" w:rsidP="001D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ризику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зовнішніх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чинників на дію</w:t>
            </w:r>
            <w:r w:rsidR="00410427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запропонованого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DF3CC4" w:rsidRPr="00E00286" w14:paraId="757A1202" w14:textId="77777777" w:rsidTr="001D1764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08B9" w14:textId="77777777" w:rsidR="001B12D7" w:rsidRPr="00E00286" w:rsidRDefault="001B12D7" w:rsidP="001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E9498" w14:textId="77777777" w:rsidR="001B12D7" w:rsidRPr="00E00286" w:rsidRDefault="001D1764" w:rsidP="00D1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Причиною відмови є те, що проблема продовжує існувати і не може бути розв’язана оскільки збереження чинного регулювання не дає змоги досягнути </w:t>
            </w:r>
            <w:r w:rsidR="00D16C90"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цілі</w:t>
            </w: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державного регулювання, визначеної у розділі ІІ цього аналізу регуляторного впливу.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80EE" w14:textId="77777777" w:rsidR="001B12D7" w:rsidRPr="00E00286" w:rsidRDefault="001B12D7" w:rsidP="001D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</w:tc>
      </w:tr>
      <w:tr w:rsidR="00DF3CC4" w:rsidRPr="00E00286" w14:paraId="340D2AFB" w14:textId="77777777" w:rsidTr="001D1764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1D7FA" w14:textId="77777777" w:rsidR="001B12D7" w:rsidRPr="00E00286" w:rsidRDefault="001D1764" w:rsidP="001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77866" w14:textId="11EE68D9" w:rsidR="001B12D7" w:rsidRPr="00E00286" w:rsidRDefault="005C6AF7" w:rsidP="009042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Причиною відмови є те, що проблема продовжує існувати і не може бути розв’язана оскільки збереження чинного регулювання не дає змоги досягнути цілі державного регулювання, визначеної у розділі ІІ цього аналізу регуляторного впливу.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AE14" w14:textId="5BF8F3DA" w:rsidR="001B12D7" w:rsidRPr="00E00286" w:rsidRDefault="005C6AF7" w:rsidP="005C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</w:tc>
      </w:tr>
      <w:tr w:rsidR="00375BF6" w:rsidRPr="00E00286" w14:paraId="2642C608" w14:textId="77777777" w:rsidTr="001D1764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ADFC5" w14:textId="50423128" w:rsidR="00375BF6" w:rsidRPr="00E00286" w:rsidRDefault="00375BF6" w:rsidP="001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3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73F1D" w14:textId="7FDF54D0" w:rsidR="00375BF6" w:rsidRPr="00E00286" w:rsidRDefault="004A3A8C" w:rsidP="0090426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Причини для відмови відсутні. Обрана альтернатива є найбільш раціональним варіантом врахування інтересів всіх груп, на яких проблема справляє вплив. Затвердження регуляторного </w:t>
            </w:r>
            <w:proofErr w:type="spellStart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 найбільш прийнятним та ефективним способом, який дозволить досягти повною мірою цілі державного регулювання, визначеної у розділі ІІ цього аналізу регуляторного впливу.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1E5E" w14:textId="3AD82F8F" w:rsidR="00375BF6" w:rsidRPr="00E00286" w:rsidRDefault="004A3A8C" w:rsidP="001D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02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разі зміни зовнішніх факторів, відповідний регуляторний акт може бути переглянутий</w:t>
            </w:r>
          </w:p>
        </w:tc>
      </w:tr>
    </w:tbl>
    <w:p w14:paraId="7836A071" w14:textId="7A6118B2" w:rsidR="00C47863" w:rsidRPr="00E00286" w:rsidRDefault="00C47863" w:rsidP="00C4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9FD4E3C" w14:textId="77777777" w:rsidR="00ED0D4B" w:rsidRPr="00E00286" w:rsidRDefault="00ED0D4B" w:rsidP="00C4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2B61745" w14:textId="77777777" w:rsidR="001B12D7" w:rsidRPr="00E00286" w:rsidRDefault="001B12D7" w:rsidP="00C4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V. </w:t>
      </w:r>
      <w:r w:rsidR="00866119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Механізм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заходи, які забезпечать розв’язання визначеної проблеми</w:t>
      </w:r>
    </w:p>
    <w:p w14:paraId="7EA79498" w14:textId="77777777" w:rsidR="002B77A0" w:rsidRPr="00E00286" w:rsidRDefault="002B77A0" w:rsidP="00084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4FA5412" w14:textId="3E801013" w:rsidR="00D20F56" w:rsidRPr="00E00286" w:rsidRDefault="0091470C" w:rsidP="00D20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Для забезпечення</w:t>
      </w:r>
      <w:r w:rsidR="00AA6961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розв’</w:t>
      </w:r>
      <w:r w:rsidR="009B0BDF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язання проблеми передбачено</w:t>
      </w:r>
      <w:r w:rsidR="00E7711C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8E0C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внесення</w:t>
      </w:r>
      <w:r w:rsidR="00AA6961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змін до Положення про фінансово-кредитну підтримку суб'єктів малого та середнього підприємництва у місті Києві,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" w:eastAsia="uk-UA"/>
        </w:rPr>
        <w:t xml:space="preserve"> затвердженого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рішенням Київської міської ради від 21 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" w:eastAsia="uk-UA"/>
        </w:rPr>
        <w:t>вересня 2017 року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№ 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" w:eastAsia="uk-UA"/>
        </w:rPr>
        <w:t>46/3053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" w:eastAsia="uk-UA"/>
        </w:rPr>
        <w:t>(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зі змінами та доповненнями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" w:eastAsia="uk-UA"/>
        </w:rPr>
        <w:t>)</w:t>
      </w:r>
      <w:r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, яки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 затверджується механізм надання фін</w:t>
      </w:r>
      <w:r w:rsidR="00BA6E0B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ансової допомоги у місті Києві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 відкритт</w:t>
      </w:r>
      <w:r w:rsidR="00BA6E0B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я або розвиток власного бізнесу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Захисникам та Захисницям України</w:t>
      </w:r>
      <w:r w:rsidR="00D20F56" w:rsidRPr="00E0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та членам їх сімей</w:t>
      </w:r>
      <w:r w:rsidR="00D20F56" w:rsidRPr="00E00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D20F56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(при отриманні кредиту).</w:t>
      </w:r>
    </w:p>
    <w:p w14:paraId="633817E7" w14:textId="3589DD44" w:rsidR="00AA6961" w:rsidRPr="00E00286" w:rsidRDefault="00AA6961" w:rsidP="00084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A4159EF" w14:textId="77777777" w:rsidR="001B12D7" w:rsidRPr="00E00286" w:rsidRDefault="001B12D7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VІ. Оцінка виконання вимог регуляторного </w:t>
      </w:r>
      <w:proofErr w:type="spellStart"/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5C110CBD" w14:textId="384C10FB" w:rsidR="00577EDA" w:rsidRPr="00E00286" w:rsidRDefault="00577EDA" w:rsidP="00A117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5228C06" w14:textId="03DC79FB" w:rsidR="00577EDA" w:rsidRPr="00E00286" w:rsidRDefault="00577EDA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>Враховуючи те, що</w:t>
      </w:r>
      <w:r w:rsidR="00410427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питома вага суб’єктів малого підприємництва (малих та мікропідприємств разом) у загальній</w:t>
      </w:r>
      <w:r w:rsidR="00532AC1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кількості</w:t>
      </w:r>
      <w:r w:rsidR="00532AC1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суб’єктів</w:t>
      </w:r>
      <w:r w:rsidR="00DF3CC4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господарювання, на яких</w:t>
      </w:r>
      <w:r w:rsidR="00DF3CC4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поширюється</w:t>
      </w:r>
      <w:r w:rsidR="00DF3CC4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 xml:space="preserve">регулювання, становить понад </w:t>
      </w:r>
      <w:r w:rsidR="00685994" w:rsidRPr="00E00286">
        <w:rPr>
          <w:sz w:val="28"/>
          <w:szCs w:val="28"/>
          <w:lang w:val="uk-UA"/>
        </w:rPr>
        <w:t>98,5</w:t>
      </w:r>
      <w:r w:rsidR="00410427" w:rsidRPr="00E00286">
        <w:rPr>
          <w:sz w:val="28"/>
          <w:szCs w:val="28"/>
          <w:lang w:val="uk-UA"/>
        </w:rPr>
        <w:t xml:space="preserve"> </w:t>
      </w:r>
      <w:r w:rsidR="00ED0D4B" w:rsidRPr="00E00286">
        <w:rPr>
          <w:sz w:val="28"/>
          <w:szCs w:val="28"/>
          <w:lang w:val="uk-UA"/>
        </w:rPr>
        <w:t>%,</w:t>
      </w:r>
      <w:r w:rsidRPr="00E00286">
        <w:rPr>
          <w:sz w:val="28"/>
          <w:szCs w:val="28"/>
          <w:lang w:val="uk-UA"/>
        </w:rPr>
        <w:t xml:space="preserve"> розрахунок</w:t>
      </w:r>
      <w:r w:rsidR="00410427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витрат на запровадження державного регулювання для суб’єктів малого підприємництва у відповідності до Методики проведення</w:t>
      </w:r>
      <w:r w:rsidR="007946B7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аналізу</w:t>
      </w:r>
      <w:r w:rsidR="007946B7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 xml:space="preserve">впливу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>, здійснюва</w:t>
      </w:r>
      <w:r w:rsidR="00ED0D4B" w:rsidRPr="00E00286">
        <w:rPr>
          <w:sz w:val="28"/>
          <w:szCs w:val="28"/>
          <w:lang w:val="uk-UA"/>
        </w:rPr>
        <w:t>вся</w:t>
      </w:r>
      <w:r w:rsidRPr="00E00286">
        <w:rPr>
          <w:sz w:val="28"/>
          <w:szCs w:val="28"/>
          <w:lang w:val="uk-UA"/>
        </w:rPr>
        <w:t xml:space="preserve"> за допомогою</w:t>
      </w:r>
      <w:r w:rsidR="007946B7" w:rsidRPr="00E00286">
        <w:rPr>
          <w:sz w:val="28"/>
          <w:szCs w:val="28"/>
          <w:lang w:val="uk-UA"/>
        </w:rPr>
        <w:t xml:space="preserve"> </w:t>
      </w:r>
      <w:r w:rsidRPr="00E00286">
        <w:rPr>
          <w:sz w:val="28"/>
          <w:szCs w:val="28"/>
          <w:lang w:val="uk-UA"/>
        </w:rPr>
        <w:t>тестування малого підприємництва (М-Тест)</w:t>
      </w:r>
      <w:r w:rsidR="0014552A" w:rsidRPr="00E00286">
        <w:rPr>
          <w:sz w:val="28"/>
          <w:szCs w:val="28"/>
          <w:lang w:val="uk-UA"/>
        </w:rPr>
        <w:t>, що додається.</w:t>
      </w:r>
    </w:p>
    <w:p w14:paraId="57009FA1" w14:textId="77777777" w:rsidR="00C4173B" w:rsidRPr="00E00286" w:rsidRDefault="00C4173B" w:rsidP="00C417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DF8C98B" w14:textId="77777777" w:rsidR="001B12D7" w:rsidRPr="00E00286" w:rsidRDefault="001B12D7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VІІ.</w:t>
      </w:r>
      <w:r w:rsidR="00C07D23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  <w:r w:rsidR="00C07D23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запропонованого строку дії регуляторного </w:t>
      </w:r>
      <w:proofErr w:type="spellStart"/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414ACD27" w14:textId="77777777" w:rsidR="001E3D1B" w:rsidRPr="00E00286" w:rsidRDefault="001E3D1B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58B31C" w14:textId="77777777" w:rsidR="00C4173B" w:rsidRPr="00E00286" w:rsidRDefault="00C4173B" w:rsidP="00C417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дії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регуляторного акта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встановлюється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необмежений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 з моменту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набрання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чинності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необхідність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регуляторного акта є </w:t>
      </w:r>
      <w:proofErr w:type="spellStart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постійною</w:t>
      </w:r>
      <w:proofErr w:type="spellEnd"/>
      <w:r w:rsidRPr="00E0028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DC1C4D" w14:textId="77777777" w:rsidR="00577EDA" w:rsidRPr="00E00286" w:rsidRDefault="00577EDA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внесенні</w:t>
      </w:r>
      <w:r w:rsidR="00C07D23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 до чинного законодавства, що</w:t>
      </w:r>
      <w:r w:rsidR="00573922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можуть</w:t>
      </w:r>
      <w:r w:rsidR="00573922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вплинути на дію регуляторного </w:t>
      </w:r>
      <w:proofErr w:type="spellStart"/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</w:t>
      </w:r>
      <w:r w:rsidR="0014552A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 нього</w:t>
      </w:r>
      <w:r w:rsidR="0008461F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будуть</w:t>
      </w:r>
      <w:r w:rsidR="0008461F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внесені</w:t>
      </w:r>
      <w:r w:rsidR="0008461F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відповідні</w:t>
      </w:r>
      <w:r w:rsidR="0008461F"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00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корективи в установленому порядку.</w:t>
      </w:r>
    </w:p>
    <w:p w14:paraId="04369BBB" w14:textId="77777777" w:rsidR="00577EDA" w:rsidRPr="00E00286" w:rsidRDefault="00577EDA" w:rsidP="00577E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E00FBAC" w14:textId="77777777" w:rsidR="001B12D7" w:rsidRPr="00E00286" w:rsidRDefault="001B12D7" w:rsidP="00577E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VІІІ. Визначення</w:t>
      </w:r>
      <w:r w:rsidR="0041042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показників</w:t>
      </w:r>
      <w:r w:rsidR="0041042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результативності</w:t>
      </w:r>
      <w:r w:rsidR="0041042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дії регуляторного </w:t>
      </w:r>
      <w:proofErr w:type="spellStart"/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46C3CBCD" w14:textId="4B865252" w:rsidR="001B12D7" w:rsidRPr="00E00286" w:rsidRDefault="009B0BDF" w:rsidP="00410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B12D7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оказники</w:t>
      </w:r>
      <w:r w:rsidR="00982233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12D7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результативності регуляторного </w:t>
      </w:r>
      <w:proofErr w:type="spellStart"/>
      <w:r w:rsidR="001B12D7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B12D7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C5D40C0" w14:textId="73CFD5DC" w:rsidR="00410D6F" w:rsidRPr="00E00286" w:rsidRDefault="00DB5B11" w:rsidP="00410D6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суб’єктів госп</w:t>
      </w:r>
      <w:r w:rsidR="00D26410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одарювання, які отримали фінансову допомогу</w:t>
      </w:r>
      <w:r w:rsidR="008E0C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(буде відомо після прийняття рішення)</w:t>
      </w:r>
      <w:r w:rsidR="009B0BDF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CE4D18B" w14:textId="38370F07" w:rsidR="008E0CC6" w:rsidRPr="008E0CC6" w:rsidRDefault="009B0BDF" w:rsidP="008E0CC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="00D26410" w:rsidRPr="00E00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наданої фінансової допомоги</w:t>
      </w:r>
      <w:r w:rsidR="008E0C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0CC6" w:rsidRPr="008E0CC6">
        <w:rPr>
          <w:rFonts w:ascii="Times New Roman" w:eastAsia="Times New Roman" w:hAnsi="Times New Roman" w:cs="Times New Roman"/>
          <w:sz w:val="28"/>
          <w:szCs w:val="28"/>
          <w:lang w:val="uk-UA"/>
        </w:rPr>
        <w:t>(буде відомо після прийняття рішення);</w:t>
      </w:r>
    </w:p>
    <w:p w14:paraId="1F5E859F" w14:textId="0BE2BEC3" w:rsidR="008E0CC6" w:rsidRPr="008E0CC6" w:rsidRDefault="00D26410" w:rsidP="008E0CC6">
      <w:pPr>
        <w:tabs>
          <w:tab w:val="left" w:pos="9230"/>
          <w:tab w:val="left" w:pos="9372"/>
          <w:tab w:val="left" w:pos="9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bookmarkStart w:id="12" w:name="1367"/>
      <w:r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Обсяг відрахувань отримувачем податків і зборів до державного бюджету та бюджету міста Києва</w:t>
      </w:r>
      <w:r w:rsid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E0CC6" w:rsidRP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(буде відомо після прийняття рішення);</w:t>
      </w:r>
    </w:p>
    <w:p w14:paraId="2F02269A" w14:textId="20A6136D" w:rsidR="008E0CC6" w:rsidRPr="008E0CC6" w:rsidRDefault="00D26410" w:rsidP="008E0CC6">
      <w:pPr>
        <w:tabs>
          <w:tab w:val="left" w:pos="9230"/>
          <w:tab w:val="left" w:pos="9372"/>
          <w:tab w:val="left" w:pos="9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bookmarkStart w:id="13" w:name="1368"/>
      <w:bookmarkEnd w:id="12"/>
      <w:r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Кількість створених </w:t>
      </w:r>
      <w:r w:rsidR="00685994"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отримувачем </w:t>
      </w:r>
      <w:r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но</w:t>
      </w:r>
      <w:r w:rsidR="00685994"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вих робочих місць</w:t>
      </w:r>
      <w:r w:rsid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E0CC6" w:rsidRP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(буде відомо після прийняття рішення);</w:t>
      </w:r>
    </w:p>
    <w:p w14:paraId="3BFE4582" w14:textId="14BCEDF9" w:rsidR="00D26410" w:rsidRPr="00E00286" w:rsidRDefault="00D26410" w:rsidP="00D26410">
      <w:pPr>
        <w:tabs>
          <w:tab w:val="left" w:pos="9230"/>
          <w:tab w:val="left" w:pos="9372"/>
          <w:tab w:val="left" w:pos="9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2F1EA8EC" w14:textId="46433558" w:rsidR="008E0CC6" w:rsidRPr="008E0CC6" w:rsidRDefault="00D26410" w:rsidP="008E0CC6">
      <w:pPr>
        <w:tabs>
          <w:tab w:val="left" w:pos="9230"/>
          <w:tab w:val="left" w:pos="9372"/>
          <w:tab w:val="left" w:pos="9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Кількість працевлаштованих найманих працівників (в тому числі: осіб з інвалідністю, чоловіків, жінок)</w:t>
      </w:r>
      <w:r w:rsidR="008E0CC6" w:rsidRPr="008E0C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0CC6" w:rsidRP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(буде відомо після прийняття рішення);</w:t>
      </w:r>
    </w:p>
    <w:p w14:paraId="27B2882E" w14:textId="4883EC02" w:rsidR="008E0CC6" w:rsidRPr="008E0CC6" w:rsidRDefault="00D26410" w:rsidP="008E0CC6">
      <w:pPr>
        <w:tabs>
          <w:tab w:val="left" w:pos="9230"/>
          <w:tab w:val="left" w:pos="9372"/>
          <w:tab w:val="left" w:pos="9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002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Р</w:t>
      </w:r>
      <w:r w:rsidRP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озмір заробітної плати працевлаштованих найманих працівників</w:t>
      </w:r>
      <w:r w:rsid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E0CC6" w:rsidRP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(буде відомо після прийняття рішення)</w:t>
      </w:r>
      <w:r w:rsidR="008E0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bookmarkEnd w:id="13"/>
    <w:p w14:paraId="2CF275B0" w14:textId="3DF9760E" w:rsidR="009B0BDF" w:rsidRPr="00E00286" w:rsidRDefault="009B0BDF" w:rsidP="00410D6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</w:t>
      </w:r>
      <w:r w:rsidR="0016279F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1 296,00 </w:t>
      </w:r>
      <w:r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грн</w:t>
      </w:r>
      <w:r w:rsidR="00356C11" w:rsidRPr="00852C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/11 </w:t>
      </w:r>
      <w:r w:rsidR="00356C11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год.</w:t>
      </w:r>
      <w:r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одного суб’єкта господарювання</w:t>
      </w:r>
      <w:r w:rsidR="005D5DB0"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малого підприємництва та </w:t>
      </w:r>
      <w:r w:rsidR="00356C11"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356C11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8 256,00 </w:t>
      </w:r>
      <w:r w:rsidR="005D5DB0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грн</w:t>
      </w:r>
      <w:r w:rsidR="00356C11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./172 год.</w:t>
      </w:r>
      <w:r w:rsidR="005D5DB0" w:rsidRPr="00E00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D5DB0"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A64F2E"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одного суб’єкта </w:t>
      </w:r>
      <w:r w:rsidR="005D5DB0"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великого та середнього підприємництва</w:t>
      </w: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16D4A84D" w14:textId="1690619B" w:rsidR="009B0BDF" w:rsidRPr="00E00286" w:rsidRDefault="009B0BDF" w:rsidP="00410D6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Рівень поінформованості суб'єктів господарювання та/або фізичних осіб з основних положень </w:t>
      </w:r>
      <w:proofErr w:type="spellStart"/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E002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− середній.</w:t>
      </w:r>
    </w:p>
    <w:p w14:paraId="289F5E69" w14:textId="77777777" w:rsidR="001E3D1B" w:rsidRPr="00E00286" w:rsidRDefault="001E3D1B" w:rsidP="00410D6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C5F66B1" w14:textId="77777777" w:rsidR="001B12D7" w:rsidRPr="00E00286" w:rsidRDefault="001B12D7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ІХ. Визначення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заходів, за допомогою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здійснюватиметься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відстеження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результативності</w:t>
      </w:r>
      <w:r w:rsidR="007946B7"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дії регуляторного </w:t>
      </w:r>
      <w:proofErr w:type="spellStart"/>
      <w:r w:rsidRPr="00E002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p w14:paraId="6DAD1FFD" w14:textId="77777777" w:rsidR="001E3D1B" w:rsidRPr="00E00286" w:rsidRDefault="001E3D1B" w:rsidP="00577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2E6B86" w14:textId="77777777" w:rsidR="00494AD9" w:rsidRPr="00E00286" w:rsidRDefault="00494AD9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 буде здійснюватися Департаментом промисловості та розвитку підприємництва виконавчого органу Київської міської ради (Київської міської державної адміністрації) відповідно до вимог статті 10 Закону України «Про засади державної регуляторної політики у сфері господарської діяльності», та Методики відстеження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, затвердженої постановою  Кабінету Міністрів України від 11.03.2004 № 308 «Про затвердження </w:t>
      </w:r>
      <w:proofErr w:type="spellStart"/>
      <w:r w:rsidRPr="00E00286">
        <w:rPr>
          <w:sz w:val="28"/>
          <w:szCs w:val="28"/>
          <w:lang w:val="uk-UA"/>
        </w:rPr>
        <w:t>методик</w:t>
      </w:r>
      <w:proofErr w:type="spellEnd"/>
      <w:r w:rsidRPr="00E00286">
        <w:rPr>
          <w:sz w:val="28"/>
          <w:szCs w:val="28"/>
          <w:lang w:val="uk-UA"/>
        </w:rPr>
        <w:t xml:space="preserve"> проведення аналізу впливу та відстеження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>» (із змінами від 16.12.2015 № 1151).</w:t>
      </w:r>
    </w:p>
    <w:p w14:paraId="45DFBF35" w14:textId="54593021" w:rsidR="00494AD9" w:rsidRPr="00E00286" w:rsidRDefault="003E6C8A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 xml:space="preserve">Оскільки для визначення значень показників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 використовуються виключно статистичні дані, базове відстеження результативності буде здійснене після набрання чинності цим регуляторним актом але не пізніше дня, з якого починається проведення повторного відстеження результативності цього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>.</w:t>
      </w:r>
    </w:p>
    <w:p w14:paraId="7C984291" w14:textId="28AB2347" w:rsidR="00480611" w:rsidRPr="00E00286" w:rsidRDefault="00480611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 буде проведено через рік з дня набрання чинності цим актом.</w:t>
      </w:r>
    </w:p>
    <w:p w14:paraId="33B731B1" w14:textId="77777777" w:rsidR="00494AD9" w:rsidRPr="00E00286" w:rsidRDefault="00494AD9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 буде здійснюватися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>.</w:t>
      </w:r>
    </w:p>
    <w:p w14:paraId="419A0CD4" w14:textId="15FA1A30" w:rsidR="00577EDA" w:rsidRPr="00E00286" w:rsidRDefault="00494AD9" w:rsidP="00410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286">
        <w:rPr>
          <w:sz w:val="28"/>
          <w:szCs w:val="28"/>
          <w:lang w:val="uk-UA"/>
        </w:rPr>
        <w:t xml:space="preserve">Відстеження результативності даного </w:t>
      </w:r>
      <w:proofErr w:type="spellStart"/>
      <w:r w:rsidRPr="00E00286">
        <w:rPr>
          <w:sz w:val="28"/>
          <w:szCs w:val="28"/>
          <w:lang w:val="uk-UA"/>
        </w:rPr>
        <w:t>акта</w:t>
      </w:r>
      <w:proofErr w:type="spellEnd"/>
      <w:r w:rsidRPr="00E00286">
        <w:rPr>
          <w:sz w:val="28"/>
          <w:szCs w:val="28"/>
          <w:lang w:val="uk-UA"/>
        </w:rPr>
        <w:t xml:space="preserve"> буде здійснюватися статистичним методом.</w:t>
      </w:r>
    </w:p>
    <w:p w14:paraId="2F31FC60" w14:textId="60E12815" w:rsidR="001550B1" w:rsidRPr="00E00286" w:rsidRDefault="001550B1" w:rsidP="0049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8CB8BAA" w14:textId="77777777" w:rsidR="00782440" w:rsidRPr="00E00286" w:rsidRDefault="00782440" w:rsidP="00494A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C5A3AB7" w14:textId="77777777" w:rsidR="00852CE6" w:rsidRDefault="001E3D1B" w:rsidP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852C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CE6" w:rsidRPr="00852CE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промисловості </w:t>
      </w:r>
    </w:p>
    <w:p w14:paraId="7EC400D1" w14:textId="77777777" w:rsidR="00852CE6" w:rsidRDefault="00852CE6" w:rsidP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CE6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підприємництва виконавчого </w:t>
      </w:r>
    </w:p>
    <w:p w14:paraId="60435EF9" w14:textId="77FCBD90" w:rsidR="00852CE6" w:rsidRPr="00852CE6" w:rsidRDefault="00852CE6" w:rsidP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CE6">
        <w:rPr>
          <w:rFonts w:ascii="Times New Roman" w:hAnsi="Times New Roman" w:cs="Times New Roman"/>
          <w:sz w:val="28"/>
          <w:szCs w:val="28"/>
          <w:lang w:val="uk-UA"/>
        </w:rPr>
        <w:t>органу Київської міської ради (Київської</w:t>
      </w:r>
    </w:p>
    <w:p w14:paraId="139F4DFA" w14:textId="1FF626F2" w:rsidR="00852CE6" w:rsidRPr="00852CE6" w:rsidRDefault="00852CE6" w:rsidP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CE6">
        <w:rPr>
          <w:rFonts w:ascii="Times New Roman" w:hAnsi="Times New Roman" w:cs="Times New Roman"/>
          <w:sz w:val="28"/>
          <w:szCs w:val="28"/>
          <w:lang w:val="uk-UA"/>
        </w:rPr>
        <w:t xml:space="preserve">міської державної адміністрації)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E00286">
        <w:rPr>
          <w:rFonts w:ascii="Times New Roman" w:hAnsi="Times New Roman" w:cs="Times New Roman"/>
          <w:sz w:val="28"/>
          <w:szCs w:val="28"/>
          <w:lang w:val="uk-UA"/>
        </w:rPr>
        <w:t>Володимир КОСТІКОВ</w:t>
      </w:r>
    </w:p>
    <w:p w14:paraId="4A462451" w14:textId="43147736" w:rsidR="00317107" w:rsidRPr="000E3242" w:rsidRDefault="00494AD9" w:rsidP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02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2C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E002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02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028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3D1B" w:rsidRPr="00E002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0B657AF6" w14:textId="77777777" w:rsidR="00852CE6" w:rsidRPr="000E3242" w:rsidRDefault="00852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2CE6" w:rsidRPr="000E3242" w:rsidSect="001550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10E"/>
    <w:multiLevelType w:val="multilevel"/>
    <w:tmpl w:val="E82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1B3C"/>
    <w:multiLevelType w:val="hybridMultilevel"/>
    <w:tmpl w:val="9716A6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4E7"/>
    <w:multiLevelType w:val="hybridMultilevel"/>
    <w:tmpl w:val="0CE649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7138C"/>
    <w:multiLevelType w:val="multilevel"/>
    <w:tmpl w:val="2B2A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331E1"/>
    <w:multiLevelType w:val="multilevel"/>
    <w:tmpl w:val="5512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91583"/>
    <w:multiLevelType w:val="hybridMultilevel"/>
    <w:tmpl w:val="0AB28F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AE"/>
    <w:rsid w:val="000024B7"/>
    <w:rsid w:val="00010EEC"/>
    <w:rsid w:val="000126D1"/>
    <w:rsid w:val="00014CC3"/>
    <w:rsid w:val="000166BD"/>
    <w:rsid w:val="00020E8C"/>
    <w:rsid w:val="00034099"/>
    <w:rsid w:val="00036FE9"/>
    <w:rsid w:val="000711D3"/>
    <w:rsid w:val="0007241C"/>
    <w:rsid w:val="0008461F"/>
    <w:rsid w:val="000963FC"/>
    <w:rsid w:val="000B6DB2"/>
    <w:rsid w:val="000C212E"/>
    <w:rsid w:val="000C67D4"/>
    <w:rsid w:val="000C7954"/>
    <w:rsid w:val="000E3242"/>
    <w:rsid w:val="000F258C"/>
    <w:rsid w:val="000F5B7A"/>
    <w:rsid w:val="001032EE"/>
    <w:rsid w:val="00112088"/>
    <w:rsid w:val="0011715E"/>
    <w:rsid w:val="001210AF"/>
    <w:rsid w:val="00123026"/>
    <w:rsid w:val="00123E25"/>
    <w:rsid w:val="0012534B"/>
    <w:rsid w:val="0013261A"/>
    <w:rsid w:val="00134B81"/>
    <w:rsid w:val="00136182"/>
    <w:rsid w:val="0014152F"/>
    <w:rsid w:val="0014284D"/>
    <w:rsid w:val="0014552A"/>
    <w:rsid w:val="001550B1"/>
    <w:rsid w:val="0016279F"/>
    <w:rsid w:val="00186D05"/>
    <w:rsid w:val="001947A8"/>
    <w:rsid w:val="001B12D7"/>
    <w:rsid w:val="001B1DBA"/>
    <w:rsid w:val="001D10E5"/>
    <w:rsid w:val="001D1117"/>
    <w:rsid w:val="001D1764"/>
    <w:rsid w:val="001D180E"/>
    <w:rsid w:val="001D524B"/>
    <w:rsid w:val="001E3D1B"/>
    <w:rsid w:val="001F0D9B"/>
    <w:rsid w:val="001F5BFE"/>
    <w:rsid w:val="002118A0"/>
    <w:rsid w:val="002128A2"/>
    <w:rsid w:val="0021427B"/>
    <w:rsid w:val="002257C9"/>
    <w:rsid w:val="002310C0"/>
    <w:rsid w:val="00235084"/>
    <w:rsid w:val="00236A0B"/>
    <w:rsid w:val="0025116C"/>
    <w:rsid w:val="00254FFB"/>
    <w:rsid w:val="00271F6A"/>
    <w:rsid w:val="002729E6"/>
    <w:rsid w:val="00277555"/>
    <w:rsid w:val="0029080A"/>
    <w:rsid w:val="00290DA7"/>
    <w:rsid w:val="002A1585"/>
    <w:rsid w:val="002A1ACD"/>
    <w:rsid w:val="002A53BA"/>
    <w:rsid w:val="002B0956"/>
    <w:rsid w:val="002B5366"/>
    <w:rsid w:val="002B77A0"/>
    <w:rsid w:val="002C39C9"/>
    <w:rsid w:val="002C61C5"/>
    <w:rsid w:val="002C7CDB"/>
    <w:rsid w:val="002F0BFB"/>
    <w:rsid w:val="002F0F27"/>
    <w:rsid w:val="00310B37"/>
    <w:rsid w:val="00311BE6"/>
    <w:rsid w:val="0031288C"/>
    <w:rsid w:val="00314E47"/>
    <w:rsid w:val="00316E9B"/>
    <w:rsid w:val="00317107"/>
    <w:rsid w:val="00347633"/>
    <w:rsid w:val="00351197"/>
    <w:rsid w:val="00356C11"/>
    <w:rsid w:val="00370A70"/>
    <w:rsid w:val="003732EB"/>
    <w:rsid w:val="00375BF6"/>
    <w:rsid w:val="003812B7"/>
    <w:rsid w:val="00396930"/>
    <w:rsid w:val="003D0C3C"/>
    <w:rsid w:val="003D26CB"/>
    <w:rsid w:val="003D758A"/>
    <w:rsid w:val="003E446E"/>
    <w:rsid w:val="003E6320"/>
    <w:rsid w:val="003E6C8A"/>
    <w:rsid w:val="003F7644"/>
    <w:rsid w:val="00410427"/>
    <w:rsid w:val="00410D6F"/>
    <w:rsid w:val="00412F6B"/>
    <w:rsid w:val="00441A0F"/>
    <w:rsid w:val="00450499"/>
    <w:rsid w:val="00455299"/>
    <w:rsid w:val="004659E8"/>
    <w:rsid w:val="00465AC9"/>
    <w:rsid w:val="00480611"/>
    <w:rsid w:val="004825ED"/>
    <w:rsid w:val="0048285C"/>
    <w:rsid w:val="00494AD9"/>
    <w:rsid w:val="00494D8A"/>
    <w:rsid w:val="004A0298"/>
    <w:rsid w:val="004A3A8C"/>
    <w:rsid w:val="004A74C6"/>
    <w:rsid w:val="004C02D1"/>
    <w:rsid w:val="004D52FC"/>
    <w:rsid w:val="004E741C"/>
    <w:rsid w:val="00500038"/>
    <w:rsid w:val="00504CA6"/>
    <w:rsid w:val="0050721E"/>
    <w:rsid w:val="0051216A"/>
    <w:rsid w:val="00514332"/>
    <w:rsid w:val="00516BBB"/>
    <w:rsid w:val="0052411F"/>
    <w:rsid w:val="00525CB3"/>
    <w:rsid w:val="00530BF5"/>
    <w:rsid w:val="00532AC1"/>
    <w:rsid w:val="00540170"/>
    <w:rsid w:val="00550256"/>
    <w:rsid w:val="00551A9E"/>
    <w:rsid w:val="00553589"/>
    <w:rsid w:val="00555768"/>
    <w:rsid w:val="00562697"/>
    <w:rsid w:val="0057051E"/>
    <w:rsid w:val="00571223"/>
    <w:rsid w:val="00573922"/>
    <w:rsid w:val="005754E3"/>
    <w:rsid w:val="00577EDA"/>
    <w:rsid w:val="00583C00"/>
    <w:rsid w:val="00596432"/>
    <w:rsid w:val="005B28D9"/>
    <w:rsid w:val="005B3C88"/>
    <w:rsid w:val="005C4945"/>
    <w:rsid w:val="005C5C3C"/>
    <w:rsid w:val="005C6AF7"/>
    <w:rsid w:val="005C6FF2"/>
    <w:rsid w:val="005C7234"/>
    <w:rsid w:val="005C79B3"/>
    <w:rsid w:val="005D5993"/>
    <w:rsid w:val="005D5DB0"/>
    <w:rsid w:val="005E1E35"/>
    <w:rsid w:val="005E2840"/>
    <w:rsid w:val="005F3EE9"/>
    <w:rsid w:val="00611E75"/>
    <w:rsid w:val="0061266A"/>
    <w:rsid w:val="006217FF"/>
    <w:rsid w:val="00621B14"/>
    <w:rsid w:val="00626713"/>
    <w:rsid w:val="0063371F"/>
    <w:rsid w:val="00663F73"/>
    <w:rsid w:val="00664588"/>
    <w:rsid w:val="00672E2F"/>
    <w:rsid w:val="00674257"/>
    <w:rsid w:val="00685994"/>
    <w:rsid w:val="0069427B"/>
    <w:rsid w:val="006A10C0"/>
    <w:rsid w:val="006A557B"/>
    <w:rsid w:val="006C7B41"/>
    <w:rsid w:val="006D5FE1"/>
    <w:rsid w:val="006F1494"/>
    <w:rsid w:val="006F7537"/>
    <w:rsid w:val="0070375F"/>
    <w:rsid w:val="007124D1"/>
    <w:rsid w:val="007603EC"/>
    <w:rsid w:val="00782440"/>
    <w:rsid w:val="00783055"/>
    <w:rsid w:val="00794118"/>
    <w:rsid w:val="007946B7"/>
    <w:rsid w:val="007953D6"/>
    <w:rsid w:val="0079704B"/>
    <w:rsid w:val="007B3D14"/>
    <w:rsid w:val="007B738D"/>
    <w:rsid w:val="007D37E6"/>
    <w:rsid w:val="007D7E9A"/>
    <w:rsid w:val="007F7C4D"/>
    <w:rsid w:val="00804103"/>
    <w:rsid w:val="00814673"/>
    <w:rsid w:val="00823656"/>
    <w:rsid w:val="00830BA6"/>
    <w:rsid w:val="0083711D"/>
    <w:rsid w:val="008455E9"/>
    <w:rsid w:val="00846CD6"/>
    <w:rsid w:val="00847D5C"/>
    <w:rsid w:val="00852CE6"/>
    <w:rsid w:val="00853C22"/>
    <w:rsid w:val="00866119"/>
    <w:rsid w:val="00872034"/>
    <w:rsid w:val="00895F8B"/>
    <w:rsid w:val="00896BD1"/>
    <w:rsid w:val="008A0A61"/>
    <w:rsid w:val="008A0D2D"/>
    <w:rsid w:val="008C1944"/>
    <w:rsid w:val="008E0CC6"/>
    <w:rsid w:val="008E323A"/>
    <w:rsid w:val="008E516B"/>
    <w:rsid w:val="008E638B"/>
    <w:rsid w:val="008F2D6A"/>
    <w:rsid w:val="00904266"/>
    <w:rsid w:val="0091470C"/>
    <w:rsid w:val="0092311F"/>
    <w:rsid w:val="00927396"/>
    <w:rsid w:val="00927405"/>
    <w:rsid w:val="009349EA"/>
    <w:rsid w:val="0095084F"/>
    <w:rsid w:val="00954030"/>
    <w:rsid w:val="0095502B"/>
    <w:rsid w:val="00972D5F"/>
    <w:rsid w:val="009741A5"/>
    <w:rsid w:val="00975EC3"/>
    <w:rsid w:val="00981632"/>
    <w:rsid w:val="00982233"/>
    <w:rsid w:val="009839A7"/>
    <w:rsid w:val="009853DF"/>
    <w:rsid w:val="00996E1D"/>
    <w:rsid w:val="009B0BDF"/>
    <w:rsid w:val="009B19CB"/>
    <w:rsid w:val="009B1D64"/>
    <w:rsid w:val="009B64B5"/>
    <w:rsid w:val="009F5472"/>
    <w:rsid w:val="009F70B5"/>
    <w:rsid w:val="009F76AB"/>
    <w:rsid w:val="00A0494D"/>
    <w:rsid w:val="00A10D7A"/>
    <w:rsid w:val="00A117FF"/>
    <w:rsid w:val="00A150B9"/>
    <w:rsid w:val="00A230F2"/>
    <w:rsid w:val="00A330B5"/>
    <w:rsid w:val="00A64F2E"/>
    <w:rsid w:val="00A74842"/>
    <w:rsid w:val="00A768CA"/>
    <w:rsid w:val="00A92419"/>
    <w:rsid w:val="00AA16F7"/>
    <w:rsid w:val="00AA6961"/>
    <w:rsid w:val="00AB0CA7"/>
    <w:rsid w:val="00AC1160"/>
    <w:rsid w:val="00AE5830"/>
    <w:rsid w:val="00AF6776"/>
    <w:rsid w:val="00B04DED"/>
    <w:rsid w:val="00B66F98"/>
    <w:rsid w:val="00B72CA0"/>
    <w:rsid w:val="00B80EFA"/>
    <w:rsid w:val="00B87CB2"/>
    <w:rsid w:val="00B90630"/>
    <w:rsid w:val="00B97A0C"/>
    <w:rsid w:val="00BA0934"/>
    <w:rsid w:val="00BA6E0B"/>
    <w:rsid w:val="00BB1A97"/>
    <w:rsid w:val="00BE1561"/>
    <w:rsid w:val="00BF0403"/>
    <w:rsid w:val="00BF0EDD"/>
    <w:rsid w:val="00BF266B"/>
    <w:rsid w:val="00BF53E9"/>
    <w:rsid w:val="00C07D23"/>
    <w:rsid w:val="00C119C5"/>
    <w:rsid w:val="00C11AD7"/>
    <w:rsid w:val="00C14768"/>
    <w:rsid w:val="00C17E5D"/>
    <w:rsid w:val="00C21FEF"/>
    <w:rsid w:val="00C4173B"/>
    <w:rsid w:val="00C44990"/>
    <w:rsid w:val="00C47863"/>
    <w:rsid w:val="00C64B43"/>
    <w:rsid w:val="00C82435"/>
    <w:rsid w:val="00C90734"/>
    <w:rsid w:val="00C94954"/>
    <w:rsid w:val="00C969ED"/>
    <w:rsid w:val="00CB00A0"/>
    <w:rsid w:val="00CB0AA2"/>
    <w:rsid w:val="00CC2989"/>
    <w:rsid w:val="00CD6027"/>
    <w:rsid w:val="00CE2FA0"/>
    <w:rsid w:val="00CE6269"/>
    <w:rsid w:val="00CF0B42"/>
    <w:rsid w:val="00CF689E"/>
    <w:rsid w:val="00D06A05"/>
    <w:rsid w:val="00D11988"/>
    <w:rsid w:val="00D16244"/>
    <w:rsid w:val="00D16C90"/>
    <w:rsid w:val="00D20F56"/>
    <w:rsid w:val="00D26410"/>
    <w:rsid w:val="00D26C30"/>
    <w:rsid w:val="00D27BD1"/>
    <w:rsid w:val="00D628C7"/>
    <w:rsid w:val="00D707D3"/>
    <w:rsid w:val="00D87506"/>
    <w:rsid w:val="00D9650A"/>
    <w:rsid w:val="00DA2059"/>
    <w:rsid w:val="00DA5505"/>
    <w:rsid w:val="00DB13A1"/>
    <w:rsid w:val="00DB4F5E"/>
    <w:rsid w:val="00DB5B11"/>
    <w:rsid w:val="00DC0E58"/>
    <w:rsid w:val="00DC7B4F"/>
    <w:rsid w:val="00DD0059"/>
    <w:rsid w:val="00DD019D"/>
    <w:rsid w:val="00DD1104"/>
    <w:rsid w:val="00DE098C"/>
    <w:rsid w:val="00DE2EA1"/>
    <w:rsid w:val="00DF3CC4"/>
    <w:rsid w:val="00E00286"/>
    <w:rsid w:val="00E037DC"/>
    <w:rsid w:val="00E231F4"/>
    <w:rsid w:val="00E30BB0"/>
    <w:rsid w:val="00E34A54"/>
    <w:rsid w:val="00E41B84"/>
    <w:rsid w:val="00E51A6E"/>
    <w:rsid w:val="00E6071A"/>
    <w:rsid w:val="00E70489"/>
    <w:rsid w:val="00E715B2"/>
    <w:rsid w:val="00E74371"/>
    <w:rsid w:val="00E7711C"/>
    <w:rsid w:val="00E86604"/>
    <w:rsid w:val="00E93032"/>
    <w:rsid w:val="00EA24D7"/>
    <w:rsid w:val="00EB1367"/>
    <w:rsid w:val="00EC3E23"/>
    <w:rsid w:val="00ED0148"/>
    <w:rsid w:val="00ED0D4B"/>
    <w:rsid w:val="00EE2A8E"/>
    <w:rsid w:val="00EF2E6B"/>
    <w:rsid w:val="00EF6743"/>
    <w:rsid w:val="00F1267B"/>
    <w:rsid w:val="00F318F2"/>
    <w:rsid w:val="00F356C3"/>
    <w:rsid w:val="00F437EF"/>
    <w:rsid w:val="00F5131B"/>
    <w:rsid w:val="00F72D88"/>
    <w:rsid w:val="00F83D43"/>
    <w:rsid w:val="00F8542A"/>
    <w:rsid w:val="00FB3763"/>
    <w:rsid w:val="00FC2A25"/>
    <w:rsid w:val="00FC2DD8"/>
    <w:rsid w:val="00FC66D2"/>
    <w:rsid w:val="00FC72FC"/>
    <w:rsid w:val="00FD0437"/>
    <w:rsid w:val="00FD47AE"/>
    <w:rsid w:val="00FE1027"/>
    <w:rsid w:val="00FE76AA"/>
    <w:rsid w:val="00FF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B300"/>
  <w15:docId w15:val="{502F77DC-98FF-4C3B-921D-6E887BB1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7B"/>
  </w:style>
  <w:style w:type="paragraph" w:styleId="3">
    <w:name w:val="heading 3"/>
    <w:basedOn w:val="a"/>
    <w:link w:val="30"/>
    <w:uiPriority w:val="9"/>
    <w:qFormat/>
    <w:rsid w:val="0014284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7AE"/>
    <w:rPr>
      <w:b/>
      <w:bCs/>
    </w:rPr>
  </w:style>
  <w:style w:type="paragraph" w:customStyle="1" w:styleId="a00">
    <w:name w:val="a0"/>
    <w:basedOn w:val="a"/>
    <w:rsid w:val="00F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F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47AE"/>
    <w:rPr>
      <w:color w:val="0000FF"/>
      <w:u w:val="single"/>
    </w:rPr>
  </w:style>
  <w:style w:type="paragraph" w:customStyle="1" w:styleId="listparagraph">
    <w:name w:val="listparagraph"/>
    <w:basedOn w:val="a"/>
    <w:rsid w:val="00F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D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741C"/>
    <w:pPr>
      <w:ind w:left="720"/>
      <w:contextualSpacing/>
    </w:pPr>
  </w:style>
  <w:style w:type="character" w:styleId="a8">
    <w:name w:val="Emphasis"/>
    <w:basedOn w:val="a0"/>
    <w:uiPriority w:val="20"/>
    <w:qFormat/>
    <w:rsid w:val="004A74C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284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13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Revision"/>
    <w:hidden/>
    <w:uiPriority w:val="99"/>
    <w:semiHidden/>
    <w:rsid w:val="00D26C3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2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6C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54F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FF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254F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FF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254FFB"/>
    <w:rPr>
      <w:b/>
      <w:bCs/>
      <w:sz w:val="20"/>
      <w:szCs w:val="20"/>
    </w:rPr>
  </w:style>
  <w:style w:type="paragraph" w:customStyle="1" w:styleId="docdata">
    <w:name w:val="docdata"/>
    <w:aliases w:val="docy,v5,15097,baiaagaaboqcaaadatmaaau/nwaaaaaaaaaaaaaaaaaaaaaaaaaaaaaaaaaaaaaaaaaaaaaaaaaaaaaaaaaaaaaaaaaaaaaaaaaaaaaaaaaaaaaaaaaaaaaaaaaaaaaaaaaaaaaaaaaaaaaaaaaaaaaaaaaaaaaaaaaaaaaaaaaaaaaaaaaaaaaaaaaaaaaaaaaaaaaaaaaaaaaaaaaaaaaaaaaaaaaaaaaaaaa"/>
    <w:basedOn w:val="a"/>
    <w:rsid w:val="00AC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A63C-8968-4673-ACCD-46865DB2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12575</Words>
  <Characters>7168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Лобуренко Наталія Олександрівна</cp:lastModifiedBy>
  <cp:revision>17</cp:revision>
  <cp:lastPrinted>2024-08-27T07:36:00Z</cp:lastPrinted>
  <dcterms:created xsi:type="dcterms:W3CDTF">2024-08-27T10:56:00Z</dcterms:created>
  <dcterms:modified xsi:type="dcterms:W3CDTF">2025-02-04T13:14:00Z</dcterms:modified>
</cp:coreProperties>
</file>