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798183390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798183390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B5FFCC8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BB6C19">
        <w:rPr>
          <w:b/>
          <w:bCs/>
          <w:sz w:val="24"/>
          <w:szCs w:val="24"/>
          <w:lang w:val="ru-RU"/>
        </w:rPr>
        <w:t>ПЗН-66941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BB6C19">
        <w:rPr>
          <w:b/>
          <w:bCs/>
          <w:sz w:val="24"/>
          <w:szCs w:val="24"/>
          <w:lang w:val="ru-RU"/>
        </w:rPr>
        <w:t>29.05.2024</w:t>
      </w:r>
    </w:p>
    <w:p w14:paraId="69271402" w14:textId="652D675B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9E2EC52" w14:textId="77777777" w:rsidR="00BB6C19" w:rsidRPr="003774B2" w:rsidRDefault="00BB6C19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</w:p>
    <w:p w14:paraId="3D808EFA" w14:textId="68A44007" w:rsidR="00E17376" w:rsidRDefault="00BB6C19" w:rsidP="00BB6C19">
      <w:pPr>
        <w:pStyle w:val="1"/>
        <w:shd w:val="clear" w:color="auto" w:fill="auto"/>
        <w:spacing w:after="0" w:line="226" w:lineRule="auto"/>
        <w:ind w:right="2835" w:firstLine="142"/>
        <w:jc w:val="center"/>
        <w:rPr>
          <w:b/>
          <w:bCs/>
          <w:i/>
          <w:sz w:val="24"/>
          <w:szCs w:val="24"/>
        </w:rPr>
      </w:pPr>
      <w:r w:rsidRPr="00BB6C19">
        <w:rPr>
          <w:b/>
          <w:bCs/>
          <w:i/>
          <w:sz w:val="24"/>
          <w:szCs w:val="24"/>
        </w:rPr>
        <w:t>Про передачу громадянці Ващенко Світлані Віталіївні у приватну власність земельної ділянки для будівництва і обслуговування житлового будинку, господарських будівель і споруд на вул. Радистів, 35  у Деснянському районі міста Києва</w:t>
      </w:r>
    </w:p>
    <w:p w14:paraId="00393D8A" w14:textId="77777777" w:rsidR="00BB6C19" w:rsidRPr="00BB6C19" w:rsidRDefault="00BB6C19" w:rsidP="00BB6C19">
      <w:pPr>
        <w:pStyle w:val="1"/>
        <w:shd w:val="clear" w:color="auto" w:fill="auto"/>
        <w:spacing w:after="0" w:line="226" w:lineRule="auto"/>
        <w:ind w:right="2409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Ващенко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Світлана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24.05.2024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798183390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8000000000:62:040:0003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2"/>
        <w:gridCol w:w="6209"/>
      </w:tblGrid>
      <w:tr w:rsidR="00E659C4" w14:paraId="4ACF000F" w14:textId="77777777" w:rsidTr="00EB6F94">
        <w:tc>
          <w:tcPr>
            <w:tcW w:w="3312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09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Радистів, 35  у Деснянському районі міста Києва </w:t>
            </w:r>
          </w:p>
        </w:tc>
      </w:tr>
      <w:tr w:rsidR="00E659C4" w14:paraId="7FA17F85" w14:textId="77777777" w:rsidTr="00EB6F94">
        <w:tc>
          <w:tcPr>
            <w:tcW w:w="3312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09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0,0662 га</w:t>
            </w:r>
          </w:p>
        </w:tc>
      </w:tr>
      <w:tr w:rsidR="00E659C4" w14:paraId="34526A38" w14:textId="77777777" w:rsidTr="00EB6F94">
        <w:tc>
          <w:tcPr>
            <w:tcW w:w="3312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209" w:type="dxa"/>
          </w:tcPr>
          <w:p w14:paraId="08D0261A" w14:textId="2B6F9167" w:rsidR="00E659C4" w:rsidRPr="00EA27C8" w:rsidRDefault="00EB6F9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107386">
              <w:rPr>
                <w:rStyle w:val="af"/>
                <w:b w:val="0"/>
                <w:sz w:val="24"/>
                <w:szCs w:val="24"/>
              </w:rPr>
              <w:t>Право в процесі оформлення (</w:t>
            </w:r>
            <w:r>
              <w:rPr>
                <w:rStyle w:val="af"/>
                <w:b w:val="0"/>
                <w:sz w:val="24"/>
                <w:szCs w:val="24"/>
              </w:rPr>
              <w:t>в</w:t>
            </w:r>
            <w:r w:rsidRPr="00107386">
              <w:rPr>
                <w:rStyle w:val="af"/>
                <w:b w:val="0"/>
                <w:sz w:val="24"/>
                <w:szCs w:val="24"/>
              </w:rPr>
              <w:t>ласність)</w:t>
            </w:r>
          </w:p>
        </w:tc>
      </w:tr>
      <w:tr w:rsidR="00EB6F94" w14:paraId="56B82EDC" w14:textId="77777777" w:rsidTr="00EB6F94">
        <w:tc>
          <w:tcPr>
            <w:tcW w:w="3312" w:type="dxa"/>
          </w:tcPr>
          <w:p w14:paraId="31AD76C4" w14:textId="592D4F7C" w:rsidR="00EB6F94" w:rsidRDefault="00EB6F94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209" w:type="dxa"/>
          </w:tcPr>
          <w:p w14:paraId="66B206B5" w14:textId="7229EC5D" w:rsidR="00EB6F94" w:rsidRPr="00EA27C8" w:rsidRDefault="00EB6F94" w:rsidP="00EA27C8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A44CA"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659C4" w14:paraId="31D36722" w14:textId="77777777" w:rsidTr="00EB6F94">
        <w:tc>
          <w:tcPr>
            <w:tcW w:w="3312" w:type="dxa"/>
          </w:tcPr>
          <w:p w14:paraId="58C1B7B7" w14:textId="12F29F95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B6F94">
              <w:rPr>
                <w:b w:val="0"/>
                <w:i/>
                <w:sz w:val="24"/>
                <w:szCs w:val="24"/>
              </w:rPr>
              <w:t>Цільове призначення</w:t>
            </w:r>
            <w:r w:rsidR="00EB6F94"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209" w:type="dxa"/>
          </w:tcPr>
          <w:p w14:paraId="1AB1CB5D" w14:textId="58253F0C" w:rsidR="00E659C4" w:rsidRPr="00EA27C8" w:rsidRDefault="00EB6F9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02.01</w:t>
            </w:r>
            <w:r w:rsidRPr="000A44C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Д</w:t>
            </w:r>
            <w:r w:rsidRPr="000A44CA">
              <w:rPr>
                <w:b w:val="0"/>
                <w:i/>
                <w:sz w:val="24"/>
                <w:szCs w:val="24"/>
              </w:rPr>
              <w:t>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D8DED90" w14:textId="50B7D28F" w:rsidR="00EB6F94" w:rsidRDefault="00EB6F94" w:rsidP="00EB6F94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щодо відведення земельної ділянки, </w:t>
      </w:r>
      <w:r>
        <w:rPr>
          <w:sz w:val="24"/>
          <w:szCs w:val="24"/>
        </w:rPr>
        <w:t>на підставі якого та в</w:t>
      </w:r>
      <w:r w:rsidRPr="00DF2891">
        <w:rPr>
          <w:sz w:val="24"/>
          <w:szCs w:val="24"/>
        </w:rPr>
        <w:t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від 20.04.2017 </w:t>
      </w:r>
      <w:r>
        <w:rPr>
          <w:sz w:val="24"/>
          <w:szCs w:val="24"/>
        </w:rPr>
        <w:t xml:space="preserve">                   </w:t>
      </w:r>
      <w:r w:rsidRPr="00DF2891">
        <w:rPr>
          <w:sz w:val="24"/>
          <w:szCs w:val="24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3715ABA4" w14:textId="77777777" w:rsidR="00EB6F94" w:rsidRDefault="00EB6F94" w:rsidP="00EB6F94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BE17A8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BE17A8" w:rsidRPr="00EA27C8" w:rsidRDefault="00BE17A8" w:rsidP="00BE17A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BE17A8" w:rsidRPr="00EA27C8" w:rsidRDefault="00BE17A8" w:rsidP="00BE17A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1A8ADB1A" w:rsidR="0029672B" w:rsidRPr="00967B6D" w:rsidRDefault="00BE17A8" w:rsidP="00967B6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67B6D">
              <w:rPr>
                <w:i/>
                <w:sz w:val="24"/>
                <w:szCs w:val="24"/>
              </w:rPr>
              <w:t xml:space="preserve">На земельній ділянці розташований житловий будинок житловою площею 72 </w:t>
            </w:r>
            <w:proofErr w:type="spellStart"/>
            <w:r w:rsidRPr="00967B6D">
              <w:rPr>
                <w:i/>
                <w:sz w:val="24"/>
                <w:szCs w:val="24"/>
              </w:rPr>
              <w:t>кв</w:t>
            </w:r>
            <w:proofErr w:type="spellEnd"/>
            <w:r w:rsidRPr="00967B6D">
              <w:rPr>
                <w:i/>
                <w:sz w:val="24"/>
                <w:szCs w:val="24"/>
              </w:rPr>
              <w:t>. м, що перебуває у приватній власності Ващенко С. В. на підставі договору купівлі-продажу від 15.09.2021 № 2393</w:t>
            </w:r>
            <w:r w:rsidR="00967B6D" w:rsidRPr="00967B6D">
              <w:rPr>
                <w:i/>
                <w:sz w:val="24"/>
                <w:szCs w:val="24"/>
              </w:rPr>
              <w:t xml:space="preserve">, </w:t>
            </w:r>
            <w:r w:rsidRPr="00967B6D">
              <w:rPr>
                <w:i/>
                <w:sz w:val="24"/>
                <w:szCs w:val="24"/>
              </w:rPr>
              <w:t xml:space="preserve"> </w:t>
            </w:r>
            <w:r w:rsidR="00967B6D" w:rsidRPr="00967B6D">
              <w:rPr>
                <w:i/>
                <w:sz w:val="24"/>
                <w:szCs w:val="24"/>
              </w:rPr>
              <w:t xml:space="preserve">право власності зареєстровано в </w:t>
            </w:r>
            <w:r w:rsidRPr="00967B6D">
              <w:rPr>
                <w:i/>
                <w:sz w:val="24"/>
                <w:szCs w:val="24"/>
              </w:rPr>
              <w:t>Державно</w:t>
            </w:r>
            <w:r w:rsidR="00967B6D" w:rsidRPr="00967B6D">
              <w:rPr>
                <w:i/>
                <w:sz w:val="24"/>
                <w:szCs w:val="24"/>
              </w:rPr>
              <w:t xml:space="preserve">му </w:t>
            </w:r>
            <w:r w:rsidRPr="00967B6D">
              <w:rPr>
                <w:i/>
                <w:sz w:val="24"/>
                <w:szCs w:val="24"/>
              </w:rPr>
              <w:t>реєстр</w:t>
            </w:r>
            <w:r w:rsidR="00967B6D" w:rsidRPr="00967B6D">
              <w:rPr>
                <w:i/>
                <w:sz w:val="24"/>
                <w:szCs w:val="24"/>
              </w:rPr>
              <w:t xml:space="preserve">і </w:t>
            </w:r>
            <w:r w:rsidRPr="00967B6D">
              <w:rPr>
                <w:i/>
                <w:sz w:val="24"/>
                <w:szCs w:val="24"/>
              </w:rPr>
              <w:t xml:space="preserve">речових прав на нерухоме майно 15.09.2021 </w:t>
            </w:r>
            <w:r w:rsidR="00967B6D" w:rsidRPr="00967B6D">
              <w:rPr>
                <w:i/>
                <w:sz w:val="24"/>
                <w:szCs w:val="24"/>
              </w:rPr>
              <w:t xml:space="preserve">за </w:t>
            </w:r>
            <w:r w:rsidRPr="00967B6D">
              <w:rPr>
                <w:i/>
                <w:sz w:val="24"/>
                <w:szCs w:val="24"/>
              </w:rPr>
              <w:t xml:space="preserve">№ </w:t>
            </w:r>
            <w:r w:rsidR="00967B6D" w:rsidRPr="00967B6D">
              <w:rPr>
                <w:i/>
                <w:sz w:val="24"/>
                <w:szCs w:val="24"/>
              </w:rPr>
              <w:t xml:space="preserve">43976490 </w:t>
            </w:r>
            <w:r w:rsidRPr="00967B6D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</w:t>
            </w:r>
            <w:r w:rsidR="00C4521E">
              <w:rPr>
                <w:i/>
                <w:sz w:val="24"/>
                <w:szCs w:val="24"/>
              </w:rPr>
              <w:t xml:space="preserve">                   </w:t>
            </w:r>
            <w:r w:rsidRPr="00967B6D">
              <w:rPr>
                <w:i/>
                <w:sz w:val="24"/>
                <w:szCs w:val="24"/>
              </w:rPr>
              <w:t xml:space="preserve"> від 29.05.2024 № 380609934).</w:t>
            </w:r>
          </w:p>
        </w:tc>
      </w:tr>
      <w:tr w:rsidR="00BE17A8" w:rsidRPr="003774B2" w14:paraId="44C55D8C" w14:textId="77777777" w:rsidTr="00EA27C8">
        <w:trPr>
          <w:cantSplit/>
          <w:trHeight w:val="1644"/>
        </w:trPr>
        <w:tc>
          <w:tcPr>
            <w:tcW w:w="3462" w:type="dxa"/>
          </w:tcPr>
          <w:p w14:paraId="7162150E" w14:textId="359B3034" w:rsidR="00BE17A8" w:rsidRPr="00EA27C8" w:rsidRDefault="00BE17A8" w:rsidP="00BE17A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5E121A89" w:rsidR="0029672B" w:rsidRPr="00BE17A8" w:rsidRDefault="00BE17A8" w:rsidP="0088769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BE17A8">
              <w:rPr>
                <w:i/>
                <w:sz w:val="24"/>
                <w:szCs w:val="24"/>
              </w:rPr>
              <w:t xml:space="preserve">Відповідно до детального плану території  селища </w:t>
            </w:r>
            <w:proofErr w:type="spellStart"/>
            <w:r w:rsidRPr="00BE17A8">
              <w:rPr>
                <w:i/>
                <w:sz w:val="24"/>
                <w:szCs w:val="24"/>
              </w:rPr>
              <w:t>Биківня</w:t>
            </w:r>
            <w:proofErr w:type="spellEnd"/>
            <w:r w:rsidRPr="00BE17A8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C84137">
              <w:rPr>
                <w:i/>
                <w:sz w:val="24"/>
                <w:szCs w:val="24"/>
              </w:rPr>
              <w:t xml:space="preserve">                           </w:t>
            </w:r>
            <w:r w:rsidRPr="00BE17A8">
              <w:rPr>
                <w:i/>
                <w:sz w:val="24"/>
                <w:szCs w:val="24"/>
              </w:rPr>
              <w:t>від 14.04.2016 № 330/330, земельна ділянка за функціональним призначенням належить до терит</w:t>
            </w:r>
            <w:r w:rsidR="00887692">
              <w:rPr>
                <w:i/>
                <w:sz w:val="24"/>
                <w:szCs w:val="24"/>
              </w:rPr>
              <w:t xml:space="preserve">орії житлової садибної забудови (довідка (витяг) з Містобудівного кадастру </w:t>
            </w:r>
            <w:r w:rsidR="00887692">
              <w:rPr>
                <w:i/>
                <w:snapToGrid w:val="0"/>
                <w:color w:val="auto"/>
                <w:sz w:val="24"/>
                <w:szCs w:val="24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07.10.2022 № 1997/0/12-53/12-03-22</w:t>
            </w:r>
            <w:r w:rsidR="00887692" w:rsidRPr="00DA4FC8">
              <w:rPr>
                <w:i/>
                <w:snapToGrid w:val="0"/>
                <w:color w:val="auto"/>
                <w:sz w:val="24"/>
                <w:szCs w:val="24"/>
              </w:rPr>
              <w:t>).</w:t>
            </w:r>
          </w:p>
        </w:tc>
      </w:tr>
      <w:tr w:rsidR="00BE17A8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BE17A8" w:rsidRDefault="00BE17A8" w:rsidP="00BE17A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BE17A8" w:rsidRPr="00EA27C8" w:rsidRDefault="00BE17A8" w:rsidP="00BE17A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437" w:type="dxa"/>
          </w:tcPr>
          <w:p w14:paraId="39EA0A52" w14:textId="77777777" w:rsidR="0029672B" w:rsidRDefault="00A91788" w:rsidP="004A55C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245B5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>
              <w:rPr>
                <w:i/>
                <w:color w:val="auto"/>
                <w:sz w:val="24"/>
                <w:szCs w:val="24"/>
              </w:rPr>
              <w:t>е</w:t>
            </w:r>
            <w:r w:rsidRPr="00D245B5">
              <w:rPr>
                <w:i/>
                <w:color w:val="auto"/>
                <w:sz w:val="24"/>
                <w:szCs w:val="24"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   </w:t>
            </w:r>
            <w:r w:rsidRPr="00D245B5">
              <w:rPr>
                <w:i/>
                <w:color w:val="auto"/>
                <w:sz w:val="24"/>
                <w:szCs w:val="24"/>
              </w:rPr>
              <w:t>від 28.03.2002 № 370/1804,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BE17A8" w:rsidRPr="00BE17A8">
              <w:rPr>
                <w:i/>
                <w:sz w:val="24"/>
                <w:szCs w:val="24"/>
              </w:rPr>
              <w:t>земельна ділянка за функціональним призначенням належить до території житлової садибної забудови.</w:t>
            </w:r>
          </w:p>
          <w:p w14:paraId="14888231" w14:textId="0B3BD1D9" w:rsidR="00FA129C" w:rsidRPr="00BE17A8" w:rsidRDefault="00FA129C" w:rsidP="00FA129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color w:val="auto"/>
                <w:sz w:val="24"/>
                <w:szCs w:val="24"/>
              </w:rPr>
              <w:t xml:space="preserve">Згідно листа </w:t>
            </w:r>
            <w:r>
              <w:rPr>
                <w:i/>
                <w:snapToGrid w:val="0"/>
                <w:color w:val="auto"/>
                <w:sz w:val="24"/>
                <w:szCs w:val="24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i/>
                <w:snapToGrid w:val="0"/>
                <w:color w:val="auto"/>
                <w:sz w:val="24"/>
                <w:szCs w:val="24"/>
              </w:rPr>
              <w:t xml:space="preserve"> від 07.08.2023 № 055-5911 заявлена ініціатива відповідає містобудівній документації. </w:t>
            </w:r>
          </w:p>
        </w:tc>
      </w:tr>
      <w:tr w:rsidR="00BE17A8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BE17A8" w:rsidRPr="00EA27C8" w:rsidRDefault="00BE17A8" w:rsidP="00BE17A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7B2A2DD7" w:rsidR="0029672B" w:rsidRPr="00BE17A8" w:rsidRDefault="00BE17A8" w:rsidP="004A55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17A8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E17A8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BE17A8" w:rsidRPr="00EA27C8" w:rsidRDefault="00BE17A8" w:rsidP="00BE17A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33BAF3" w:rsidR="0029672B" w:rsidRPr="00BE17A8" w:rsidRDefault="00BE17A8" w:rsidP="004A55C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17A8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E17A8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BE17A8" w:rsidRPr="00EA27C8" w:rsidRDefault="00BE17A8" w:rsidP="00BE17A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305ACDE3" w14:textId="77777777" w:rsidR="00CA0B9F" w:rsidRDefault="00CA0B9F" w:rsidP="007A0249">
            <w:pPr>
              <w:pStyle w:val="af3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bdr w:val="none" w:sz="0" w:space="0" w:color="auto" w:frame="1"/>
                <w:lang w:val="uk-UA"/>
              </w:rPr>
              <w:t>Червоні лінії земельну ділянку не перетинають.</w:t>
            </w:r>
          </w:p>
          <w:p w14:paraId="45F30B43" w14:textId="596C71E9" w:rsidR="007A0249" w:rsidRPr="00466BF6" w:rsidRDefault="007A0249" w:rsidP="007A0249">
            <w:pPr>
              <w:pStyle w:val="af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66BF6">
              <w:rPr>
                <w:i/>
                <w:iCs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у власність земельної ділянки або про відмову у її </w:t>
            </w:r>
            <w:r>
              <w:rPr>
                <w:i/>
                <w:iCs/>
                <w:bdr w:val="none" w:sz="0" w:space="0" w:color="auto" w:frame="1"/>
                <w:lang w:val="uk-UA"/>
              </w:rPr>
              <w:t>передач</w:t>
            </w:r>
            <w:r w:rsidRPr="00466BF6">
              <w:rPr>
                <w:i/>
                <w:iCs/>
                <w:bdr w:val="none" w:sz="0" w:space="0" w:color="auto" w:frame="1"/>
                <w:lang w:val="uk-UA"/>
              </w:rPr>
              <w:t>і,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1803DF49" w14:textId="77777777" w:rsidR="007A0249" w:rsidRPr="00466BF6" w:rsidRDefault="007A0249" w:rsidP="007A0249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466BF6">
              <w:rPr>
                <w:i/>
                <w:iCs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6528D3CD" w14:textId="6799B41B" w:rsidR="0029672B" w:rsidRPr="00BE17A8" w:rsidRDefault="007A0249" w:rsidP="007A02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6BF6">
              <w:rPr>
                <w:rFonts w:ascii="Times New Roman" w:hAnsi="Times New Roman" w:cs="Times New Roman"/>
                <w:i/>
                <w:iCs/>
                <w:color w:val="auto"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A9B045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84B5A43" w14:textId="77777777" w:rsidR="00EB6F94" w:rsidRPr="00126036" w:rsidRDefault="00EB6F94" w:rsidP="00EB6F94">
      <w:pPr>
        <w:ind w:firstLine="420"/>
        <w:jc w:val="both"/>
        <w:rPr>
          <w:rFonts w:ascii="Times New Roman" w:hAnsi="Times New Roman" w:cs="Times New Roman"/>
          <w:color w:val="auto"/>
        </w:rPr>
      </w:pPr>
      <w:r w:rsidRPr="00126036">
        <w:rPr>
          <w:rFonts w:ascii="Times New Roman" w:hAnsi="Times New Roman" w:cs="Times New Roman"/>
          <w:color w:val="auto"/>
          <w:shd w:val="clear" w:color="auto" w:fill="FFFFFF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CA137B2" w14:textId="29C5F45D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A3C580C" w14:textId="77777777" w:rsidR="00C4521E" w:rsidRDefault="00C4521E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B0B6C1F" w14:textId="77777777" w:rsidR="00EB6F94" w:rsidRDefault="00EB6F94" w:rsidP="00EB6F94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Наслідками прийняття розробленого проєкту рішення стане реалізація громадянкою своїх прав на оформлення земельної ділянки, яка перебуває у її користуванні.</w:t>
      </w:r>
    </w:p>
    <w:p w14:paraId="1E36A962" w14:textId="4A7FF58C" w:rsidR="00114807" w:rsidRPr="00B85976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BB6C19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BB6C19">
      <w:rPr>
        <w:sz w:val="12"/>
        <w:szCs w:val="12"/>
        <w:lang w:val="ru-RU"/>
      </w:rPr>
      <w:t>ПЗН-66941</w:t>
    </w:r>
    <w:r w:rsidR="00862990">
      <w:rPr>
        <w:sz w:val="12"/>
        <w:szCs w:val="12"/>
      </w:rPr>
      <w:t xml:space="preserve"> від </w:t>
    </w:r>
    <w:r w:rsidR="00B2667F" w:rsidRPr="00BB6C19">
      <w:rPr>
        <w:sz w:val="12"/>
        <w:szCs w:val="12"/>
        <w:lang w:val="ru-RU"/>
      </w:rPr>
      <w:t>29.05.2024</w:t>
    </w:r>
    <w:r w:rsidR="00862990">
      <w:rPr>
        <w:sz w:val="12"/>
        <w:szCs w:val="12"/>
      </w:rPr>
      <w:t xml:space="preserve"> до клопотання 798183390</w:t>
    </w:r>
  </w:p>
  <w:p w14:paraId="2E60DAB9" w14:textId="025005DB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4521E" w:rsidRPr="00C452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E623B"/>
    <w:rsid w:val="000F1896"/>
    <w:rsid w:val="00103606"/>
    <w:rsid w:val="00110C03"/>
    <w:rsid w:val="00114807"/>
    <w:rsid w:val="00143284"/>
    <w:rsid w:val="00143508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9672B"/>
    <w:rsid w:val="002F29F5"/>
    <w:rsid w:val="00302B67"/>
    <w:rsid w:val="003047FC"/>
    <w:rsid w:val="0032514C"/>
    <w:rsid w:val="00325DA8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5B22"/>
    <w:rsid w:val="00446BFC"/>
    <w:rsid w:val="004571B2"/>
    <w:rsid w:val="00466C3C"/>
    <w:rsid w:val="00485E81"/>
    <w:rsid w:val="00491BAE"/>
    <w:rsid w:val="00496595"/>
    <w:rsid w:val="004A55C5"/>
    <w:rsid w:val="004B7658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5E1F19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C44B9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5472"/>
    <w:rsid w:val="0075609F"/>
    <w:rsid w:val="00765699"/>
    <w:rsid w:val="00765ED6"/>
    <w:rsid w:val="007671AA"/>
    <w:rsid w:val="007A0249"/>
    <w:rsid w:val="007A3E8C"/>
    <w:rsid w:val="007B7541"/>
    <w:rsid w:val="007C2840"/>
    <w:rsid w:val="007C52B7"/>
    <w:rsid w:val="007D3720"/>
    <w:rsid w:val="007E2544"/>
    <w:rsid w:val="00802B63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87692"/>
    <w:rsid w:val="008A1CBE"/>
    <w:rsid w:val="008B065F"/>
    <w:rsid w:val="008B7F25"/>
    <w:rsid w:val="008F6A51"/>
    <w:rsid w:val="009078AA"/>
    <w:rsid w:val="009253F7"/>
    <w:rsid w:val="00967B6D"/>
    <w:rsid w:val="00976EF9"/>
    <w:rsid w:val="009B470E"/>
    <w:rsid w:val="009B67EC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91788"/>
    <w:rsid w:val="00AA10F9"/>
    <w:rsid w:val="00AD6BDF"/>
    <w:rsid w:val="00AF38B3"/>
    <w:rsid w:val="00B1564C"/>
    <w:rsid w:val="00B2601A"/>
    <w:rsid w:val="00B2667F"/>
    <w:rsid w:val="00B40A6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B6C19"/>
    <w:rsid w:val="00BD4A71"/>
    <w:rsid w:val="00BE17A8"/>
    <w:rsid w:val="00BE5396"/>
    <w:rsid w:val="00BE76CE"/>
    <w:rsid w:val="00C2624F"/>
    <w:rsid w:val="00C4521E"/>
    <w:rsid w:val="00C71E7D"/>
    <w:rsid w:val="00C84137"/>
    <w:rsid w:val="00C84EDA"/>
    <w:rsid w:val="00C95FDB"/>
    <w:rsid w:val="00C96D9A"/>
    <w:rsid w:val="00C97F46"/>
    <w:rsid w:val="00CA0B9F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96B8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B6F94"/>
    <w:rsid w:val="00ED0B68"/>
    <w:rsid w:val="00EE5263"/>
    <w:rsid w:val="00EF0B77"/>
    <w:rsid w:val="00EF46F6"/>
    <w:rsid w:val="00EF7797"/>
    <w:rsid w:val="00F02B99"/>
    <w:rsid w:val="00F23067"/>
    <w:rsid w:val="00F23B16"/>
    <w:rsid w:val="00F47E79"/>
    <w:rsid w:val="00F512E5"/>
    <w:rsid w:val="00F64C5F"/>
    <w:rsid w:val="00F66157"/>
    <w:rsid w:val="00F76EA8"/>
    <w:rsid w:val="00F8168C"/>
    <w:rsid w:val="00F905E6"/>
    <w:rsid w:val="00FA129C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7A02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5361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Зайчук Максим Володимирович</cp:lastModifiedBy>
  <cp:revision>30</cp:revision>
  <cp:lastPrinted>2021-11-25T14:49:00Z</cp:lastPrinted>
  <dcterms:created xsi:type="dcterms:W3CDTF">2024-05-29T12:52:00Z</dcterms:created>
  <dcterms:modified xsi:type="dcterms:W3CDTF">2024-06-11T08:26:00Z</dcterms:modified>
</cp:coreProperties>
</file>