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93E6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746811446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746811446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93E6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9357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 xml:space="preserve">№ </w:t>
      </w:r>
      <w:r w:rsidR="004D1119" w:rsidRPr="00193575">
        <w:rPr>
          <w:b/>
          <w:bCs/>
          <w:sz w:val="24"/>
          <w:szCs w:val="24"/>
          <w:lang w:val="uk-UA"/>
        </w:rPr>
        <w:t>ПЗН-65365 від 17.04.2024</w:t>
      </w:r>
    </w:p>
    <w:p w14:paraId="781D03CD" w14:textId="77777777" w:rsidR="004D1119" w:rsidRPr="0019357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 xml:space="preserve">до </w:t>
      </w:r>
      <w:proofErr w:type="spellStart"/>
      <w:r w:rsidRPr="00193575">
        <w:rPr>
          <w:sz w:val="24"/>
          <w:szCs w:val="24"/>
          <w:lang w:val="uk-UA"/>
        </w:rPr>
        <w:t>проєкту</w:t>
      </w:r>
      <w:proofErr w:type="spellEnd"/>
      <w:r w:rsidRPr="00193575">
        <w:rPr>
          <w:sz w:val="24"/>
          <w:szCs w:val="24"/>
          <w:lang w:val="uk-UA"/>
        </w:rPr>
        <w:t xml:space="preserve"> рішення Київської міської ради:</w:t>
      </w:r>
    </w:p>
    <w:p w14:paraId="47F3028C" w14:textId="4F33154E" w:rsidR="00F93E61" w:rsidRPr="00193575" w:rsidRDefault="00F067D5" w:rsidP="00F93E61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F067D5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</w:t>
      </w:r>
      <w:r w:rsidR="0099257F">
        <w:rPr>
          <w:rFonts w:eastAsia="Georgia"/>
          <w:b/>
          <w:i/>
          <w:iCs/>
          <w:sz w:val="24"/>
          <w:szCs w:val="24"/>
          <w:lang w:val="uk-UA"/>
        </w:rPr>
        <w:t>в</w:t>
      </w:r>
      <w:r w:rsidR="00AC0A90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Pr="00F067D5">
        <w:rPr>
          <w:rFonts w:eastAsia="Georgia"/>
          <w:b/>
          <w:i/>
          <w:iCs/>
          <w:sz w:val="24"/>
          <w:szCs w:val="24"/>
          <w:lang w:val="uk-UA"/>
        </w:rPr>
        <w:t>постійне користування для цілей підрозділів 09.01-09.02, 09.04-09.05 та для збереження та використання земель природно-заповідного фонду на території 77 кварталу Святошинського лісництва у Святошинському районі міста Києва</w:t>
      </w:r>
    </w:p>
    <w:p w14:paraId="7485161D" w14:textId="41D61655" w:rsidR="004D1119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>Юридична особа:</w:t>
      </w:r>
    </w:p>
    <w:p w14:paraId="4D23A474" w14:textId="77777777" w:rsidR="00193575" w:rsidRPr="00193575" w:rsidRDefault="00193575" w:rsidP="00193575">
      <w:pPr>
        <w:pStyle w:val="a5"/>
        <w:shd w:val="clear" w:color="auto" w:fill="auto"/>
        <w:spacing w:line="240" w:lineRule="auto"/>
        <w:ind w:left="727"/>
        <w:rPr>
          <w:b/>
          <w:bCs/>
          <w:sz w:val="24"/>
          <w:szCs w:val="24"/>
          <w:lang w:val="uk-UA"/>
        </w:rPr>
      </w:pP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B536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193575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4D1119" w:rsidRPr="0019357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93575" w:rsidRDefault="004D1119" w:rsidP="00F93E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193575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193575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19357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4D1119" w:rsidRPr="00193575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185CF590" w:rsidR="004D1119" w:rsidRPr="0019357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4D1119" w:rsidRPr="00193575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193575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5713ED9E" w:rsidR="004D1119" w:rsidRPr="00193575" w:rsidRDefault="00F93E61" w:rsidP="00F93E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575">
              <w:rPr>
                <w:i/>
                <w:sz w:val="24"/>
                <w:szCs w:val="24"/>
                <w:lang w:val="uk-UA"/>
              </w:rPr>
              <w:t>КИЇВСЬКА МІСЬКА РАДА, Код ЄДРПОУ:22883141</w:t>
            </w:r>
            <w:r w:rsidR="003A162C">
              <w:rPr>
                <w:i/>
                <w:sz w:val="24"/>
                <w:szCs w:val="24"/>
                <w:lang w:val="uk-UA"/>
              </w:rPr>
              <w:t>,</w:t>
            </w:r>
            <w:r w:rsidRPr="00193575">
              <w:rPr>
                <w:i/>
                <w:sz w:val="24"/>
                <w:szCs w:val="24"/>
                <w:lang w:val="uk-UA"/>
              </w:rPr>
              <w:t xml:space="preserve"> Україна, 01044, м. Київ, вул. Хрещатик, буд. 36</w:t>
            </w:r>
          </w:p>
        </w:tc>
      </w:tr>
      <w:tr w:rsidR="004D1119" w:rsidRPr="00193575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19357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4D1119" w:rsidRPr="00193575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193575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7115472" w:rsidR="004D1119" w:rsidRPr="00193575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4D1119" w:rsidRPr="00193575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19357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193575" w:rsidRDefault="00BC5A16" w:rsidP="00F93E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575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93575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19357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="006E106A" w:rsidRPr="00193575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193575" w:rsidRDefault="006E106A" w:rsidP="00F93E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575">
              <w:rPr>
                <w:sz w:val="24"/>
                <w:szCs w:val="24"/>
                <w:lang w:val="uk-UA"/>
              </w:rPr>
              <w:t xml:space="preserve">від </w:t>
            </w:r>
            <w:r w:rsidRPr="00193575">
              <w:rPr>
                <w:i/>
                <w:sz w:val="24"/>
                <w:szCs w:val="24"/>
                <w:lang w:val="uk-UA"/>
              </w:rPr>
              <w:t>10.04.2024</w:t>
            </w:r>
            <w:r w:rsidRPr="00193575">
              <w:rPr>
                <w:sz w:val="24"/>
                <w:szCs w:val="24"/>
                <w:lang w:val="uk-UA"/>
              </w:rPr>
              <w:t xml:space="preserve"> </w:t>
            </w:r>
            <w:r w:rsidRPr="00193575">
              <w:rPr>
                <w:i/>
                <w:sz w:val="24"/>
                <w:szCs w:val="24"/>
                <w:lang w:val="uk-UA"/>
              </w:rPr>
              <w:t>№ 746811446</w:t>
            </w:r>
          </w:p>
        </w:tc>
      </w:tr>
    </w:tbl>
    <w:p w14:paraId="24C2D17C" w14:textId="77777777" w:rsidR="004D1119" w:rsidRPr="00193575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193575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21641A9A" w:rsidR="004D1119" w:rsidRPr="0019357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8000000000:75:687:0001)</w:t>
      </w:r>
      <w:r w:rsidR="00DC4060" w:rsidRPr="00193575">
        <w:rPr>
          <w:b/>
          <w:bCs/>
          <w:sz w:val="24"/>
          <w:szCs w:val="24"/>
          <w:lang w:val="uk-UA"/>
        </w:rPr>
        <w:t>.</w:t>
      </w:r>
    </w:p>
    <w:p w14:paraId="185D5898" w14:textId="77777777" w:rsidR="00F93E61" w:rsidRPr="00193575" w:rsidRDefault="00F93E61" w:rsidP="00F93E6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681"/>
        <w:gridCol w:w="6812"/>
      </w:tblGrid>
      <w:tr w:rsidR="004D1119" w:rsidRPr="00EB536F" w14:paraId="2D726FA4" w14:textId="77777777" w:rsidTr="00EB536F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193575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6E106A" w:rsidRPr="0019357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9E218F6" w:rsidR="004D1119" w:rsidRPr="00193575" w:rsidRDefault="004D1119" w:rsidP="00A02FD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3575">
              <w:rPr>
                <w:i/>
                <w:iCs/>
                <w:sz w:val="24"/>
                <w:szCs w:val="24"/>
              </w:rPr>
              <w:t>м. Київ, р-н Святошинський, 7</w:t>
            </w:r>
            <w:r w:rsidR="00A02FD6" w:rsidRPr="00193575">
              <w:rPr>
                <w:i/>
                <w:iCs/>
                <w:sz w:val="24"/>
                <w:szCs w:val="24"/>
              </w:rPr>
              <w:t>7</w:t>
            </w:r>
            <w:r w:rsidRPr="00193575">
              <w:rPr>
                <w:i/>
                <w:iCs/>
                <w:sz w:val="24"/>
                <w:szCs w:val="24"/>
              </w:rPr>
              <w:t xml:space="preserve"> квартал Святошинського лісництва </w:t>
            </w:r>
          </w:p>
        </w:tc>
      </w:tr>
      <w:tr w:rsidR="004D1119" w:rsidRPr="00193575" w14:paraId="3D5F4781" w14:textId="77777777" w:rsidTr="00EB536F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4D1119" w:rsidRPr="00193575">
              <w:rPr>
                <w:sz w:val="24"/>
                <w:szCs w:val="24"/>
              </w:rPr>
              <w:t>Площа: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193575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3575">
              <w:rPr>
                <w:i/>
                <w:iCs/>
                <w:sz w:val="24"/>
                <w:szCs w:val="24"/>
              </w:rPr>
              <w:t>8,3091 га</w:t>
            </w:r>
          </w:p>
        </w:tc>
      </w:tr>
      <w:tr w:rsidR="004D1119" w:rsidRPr="00EB536F" w14:paraId="0C66F18A" w14:textId="77777777" w:rsidTr="00EB536F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19357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4D1119" w:rsidRPr="00193575">
              <w:rPr>
                <w:sz w:val="24"/>
                <w:szCs w:val="24"/>
              </w:rPr>
              <w:t xml:space="preserve">Вид та термін </w:t>
            </w:r>
            <w:r w:rsidRPr="00193575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19357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4D1119" w:rsidRPr="00193575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6CA5275" w:rsidR="004D1119" w:rsidRPr="00193575" w:rsidRDefault="00BE705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193575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193575">
              <w:rPr>
                <w:i/>
                <w:sz w:val="24"/>
                <w:szCs w:val="24"/>
              </w:rPr>
              <w:t>постійне користування</w:t>
            </w:r>
            <w:r w:rsidR="006E106A" w:rsidRPr="00193575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93575" w14:paraId="00AEDE2C" w14:textId="77777777" w:rsidTr="00EB536F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CD0A63" w:rsidRPr="00193575">
              <w:rPr>
                <w:sz w:val="24"/>
                <w:szCs w:val="24"/>
              </w:rPr>
              <w:t>Категорія земель</w:t>
            </w:r>
            <w:r w:rsidR="004D1119" w:rsidRPr="00193575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09CD471" w:rsidR="004D1119" w:rsidRPr="00193575" w:rsidRDefault="00F93E6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3575">
              <w:rPr>
                <w:rFonts w:eastAsia="Courier New"/>
                <w:i/>
                <w:iCs/>
                <w:color w:val="000000"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EB536F" w14:paraId="550A073B" w14:textId="77777777" w:rsidTr="00EB536F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4D1119" w:rsidRPr="00193575">
              <w:rPr>
                <w:sz w:val="24"/>
                <w:szCs w:val="24"/>
              </w:rPr>
              <w:t xml:space="preserve">Цільове </w:t>
            </w:r>
            <w:r w:rsidR="00E93A88" w:rsidRPr="00193575">
              <w:rPr>
                <w:sz w:val="24"/>
                <w:szCs w:val="24"/>
              </w:rPr>
              <w:t>призначення</w:t>
            </w:r>
            <w:r w:rsidR="004D1119" w:rsidRPr="00193575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8860AAE" w:rsidR="00A21758" w:rsidRPr="00193575" w:rsidRDefault="00F93E61" w:rsidP="00EB536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</w:tc>
      </w:tr>
      <w:tr w:rsidR="00E93A88" w:rsidRPr="00193575" w14:paraId="2E2CBEBD" w14:textId="77777777" w:rsidTr="00EB536F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93575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19357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193575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9357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BCEBD17" w:rsidR="00E93A88" w:rsidRPr="00193575" w:rsidRDefault="00F93E61" w:rsidP="00F93E61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19357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41 521 491</w:t>
            </w:r>
            <w:r w:rsidR="00E93A88" w:rsidRPr="00193575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E93A88" w:rsidRPr="00193575">
              <w:rPr>
                <w:rStyle w:val="a9"/>
                <w:sz w:val="24"/>
                <w:szCs w:val="24"/>
              </w:rPr>
              <w:t>грн</w:t>
            </w:r>
            <w:r w:rsidR="00E93A88" w:rsidRPr="00193575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193575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93A88" w:rsidRPr="00193575">
              <w:rPr>
                <w:rStyle w:val="a9"/>
                <w:sz w:val="24"/>
                <w:szCs w:val="24"/>
              </w:rPr>
              <w:t>коп</w:t>
            </w:r>
            <w:r w:rsidR="00E93A88" w:rsidRPr="00193575">
              <w:rPr>
                <w:rStyle w:val="a9"/>
                <w:i w:val="0"/>
                <w:sz w:val="24"/>
                <w:szCs w:val="24"/>
              </w:rPr>
              <w:t>.</w:t>
            </w:r>
          </w:p>
        </w:tc>
      </w:tr>
      <w:tr w:rsidR="00DC4060" w:rsidRPr="00EB536F" w14:paraId="59BC52D9" w14:textId="77777777" w:rsidTr="00EB536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19357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193575">
              <w:rPr>
                <w:sz w:val="24"/>
                <w:szCs w:val="24"/>
              </w:rPr>
              <w:t xml:space="preserve"> </w:t>
            </w:r>
            <w:r w:rsidR="00DC4060" w:rsidRPr="00193575">
              <w:rPr>
                <w:sz w:val="24"/>
                <w:szCs w:val="24"/>
              </w:rPr>
              <w:t>*</w:t>
            </w:r>
            <w:r w:rsidR="00DC4060" w:rsidRPr="0019357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93575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19357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 xml:space="preserve"> </w:t>
            </w:r>
            <w:r w:rsidR="00DC4060" w:rsidRPr="0019357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93575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uk-UA"/>
        </w:rPr>
      </w:pPr>
    </w:p>
    <w:p w14:paraId="64690438" w14:textId="40A157DF" w:rsidR="004D1119" w:rsidRPr="00193575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>Обґрунтуванн</w:t>
      </w:r>
      <w:bookmarkStart w:id="0" w:name="_GoBack"/>
      <w:bookmarkEnd w:id="0"/>
      <w:r w:rsidRPr="00193575">
        <w:rPr>
          <w:b/>
          <w:bCs/>
          <w:sz w:val="24"/>
          <w:szCs w:val="24"/>
          <w:lang w:val="uk-UA"/>
        </w:rPr>
        <w:t>я прийняття рішення.</w:t>
      </w:r>
    </w:p>
    <w:p w14:paraId="77EB12C1" w14:textId="1914F6D7" w:rsidR="005639F6" w:rsidRDefault="00F93E61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12.04.2024 № НВ-</w:t>
      </w:r>
      <w:r w:rsidR="00BE705E">
        <w:rPr>
          <w:sz w:val="24"/>
          <w:szCs w:val="24"/>
          <w:lang w:val="uk-UA"/>
        </w:rPr>
        <w:t>0</w:t>
      </w:r>
      <w:r w:rsidRPr="00193575">
        <w:rPr>
          <w:sz w:val="24"/>
          <w:szCs w:val="24"/>
          <w:lang w:val="uk-UA"/>
        </w:rPr>
        <w:t>000</w:t>
      </w:r>
      <w:r w:rsidR="00A02FD6" w:rsidRPr="00193575">
        <w:rPr>
          <w:sz w:val="24"/>
          <w:szCs w:val="24"/>
          <w:lang w:val="uk-UA"/>
        </w:rPr>
        <w:t>93918</w:t>
      </w:r>
      <w:r w:rsidRPr="00193575">
        <w:rPr>
          <w:sz w:val="24"/>
          <w:szCs w:val="24"/>
          <w:lang w:val="uk-UA"/>
        </w:rPr>
        <w:t xml:space="preserve">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15.04.2024   № </w:t>
      </w:r>
      <w:r w:rsidR="00A02FD6" w:rsidRPr="00193575">
        <w:rPr>
          <w:sz w:val="24"/>
          <w:szCs w:val="24"/>
          <w:lang w:val="uk-UA"/>
        </w:rPr>
        <w:t>374212434</w:t>
      </w:r>
      <w:r w:rsidRPr="0019357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93575">
        <w:rPr>
          <w:sz w:val="24"/>
          <w:szCs w:val="24"/>
          <w:lang w:val="uk-UA"/>
        </w:rPr>
        <w:t>проєкт</w:t>
      </w:r>
      <w:proofErr w:type="spellEnd"/>
      <w:r w:rsidRPr="00193575">
        <w:rPr>
          <w:sz w:val="24"/>
          <w:szCs w:val="24"/>
          <w:lang w:val="uk-UA"/>
        </w:rPr>
        <w:t xml:space="preserve"> рішення Київської міської ради щодо </w:t>
      </w:r>
      <w:r w:rsidR="00BE705E">
        <w:rPr>
          <w:sz w:val="24"/>
          <w:szCs w:val="24"/>
          <w:lang w:val="uk-UA"/>
        </w:rPr>
        <w:t>надання</w:t>
      </w:r>
      <w:r w:rsidRPr="00193575">
        <w:rPr>
          <w:sz w:val="24"/>
          <w:szCs w:val="24"/>
          <w:lang w:val="uk-UA"/>
        </w:rPr>
        <w:t xml:space="preserve"> земельної ділянки без зміни її меж та цільового призначення без складання документації із землеустрою.</w:t>
      </w:r>
    </w:p>
    <w:p w14:paraId="780D758E" w14:textId="616AA178" w:rsidR="00193575" w:rsidRDefault="00193575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52C16550" w14:textId="77777777" w:rsidR="00EB536F" w:rsidRDefault="00EB536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6C214302" w:rsidR="004D1119" w:rsidRPr="0019357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487C1" w14:textId="77777777" w:rsidR="00193575" w:rsidRPr="00193575" w:rsidRDefault="00193575" w:rsidP="00193575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16"/>
          <w:szCs w:val="16"/>
          <w:lang w:val="uk-UA"/>
        </w:rPr>
      </w:pPr>
    </w:p>
    <w:p w14:paraId="5317601B" w14:textId="466EBA9D" w:rsidR="004D1119" w:rsidRPr="00193575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193575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6"/>
          <w:szCs w:val="16"/>
          <w:lang w:val="uk-UA"/>
        </w:rPr>
      </w:pPr>
    </w:p>
    <w:p w14:paraId="10FFE8CD" w14:textId="707E26B0" w:rsidR="004D1119" w:rsidRPr="00193575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 xml:space="preserve"> </w:t>
      </w:r>
      <w:r w:rsidR="004D1119" w:rsidRPr="00193575">
        <w:rPr>
          <w:b/>
          <w:bCs/>
          <w:sz w:val="24"/>
          <w:szCs w:val="24"/>
          <w:lang w:val="uk-UA"/>
        </w:rPr>
        <w:t>Особливі характеристики ділянки.</w:t>
      </w:r>
    </w:p>
    <w:p w14:paraId="329F1424" w14:textId="77777777" w:rsidR="00193575" w:rsidRPr="00193575" w:rsidRDefault="00193575" w:rsidP="00193575">
      <w:pPr>
        <w:pStyle w:val="1"/>
        <w:shd w:val="clear" w:color="auto" w:fill="auto"/>
        <w:tabs>
          <w:tab w:val="left" w:pos="633"/>
        </w:tabs>
        <w:spacing w:after="60"/>
        <w:ind w:left="851" w:firstLine="0"/>
        <w:rPr>
          <w:sz w:val="16"/>
          <w:szCs w:val="16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EB536F" w14:paraId="713ABCEB" w14:textId="77777777" w:rsidTr="00BE705E">
        <w:trPr>
          <w:cantSplit/>
          <w:trHeight w:val="65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19357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193575" w14:paraId="0090C0B3" w14:textId="77777777" w:rsidTr="00BE705E">
        <w:trPr>
          <w:cantSplit/>
          <w:trHeight w:val="28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122733E" w:rsidR="004D1119" w:rsidRPr="00193575" w:rsidRDefault="005639F6" w:rsidP="00BE705E">
            <w:pPr>
              <w:jc w:val="both"/>
              <w:rPr>
                <w:bCs/>
                <w:i/>
              </w:rPr>
            </w:pPr>
            <w:r w:rsidRPr="0019357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  <w:r w:rsidR="00BE705E" w:rsidRPr="00193575">
              <w:rPr>
                <w:bCs/>
                <w:i/>
              </w:rPr>
              <w:t xml:space="preserve"> </w:t>
            </w:r>
          </w:p>
        </w:tc>
      </w:tr>
      <w:tr w:rsidR="004D1119" w:rsidRPr="00EB536F" w14:paraId="6224F51E" w14:textId="77777777" w:rsidTr="00193575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19357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193575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193575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9357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 xml:space="preserve"> </w:t>
            </w:r>
            <w:r w:rsidR="0085512A" w:rsidRPr="00193575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033C47C" w:rsidR="004D1119" w:rsidRPr="00193575" w:rsidRDefault="00A02FD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належать до території лісів та лісопарків.</w:t>
            </w:r>
          </w:p>
        </w:tc>
      </w:tr>
      <w:tr w:rsidR="004D1119" w:rsidRPr="00EB536F" w14:paraId="4307FC21" w14:textId="77777777" w:rsidTr="0019357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9357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9357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B536F" w14:paraId="7119DCC8" w14:textId="77777777" w:rsidTr="0019357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19357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19357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4113E53" w:rsidR="00DC31BC" w:rsidRPr="00193575" w:rsidRDefault="00BE705E" w:rsidP="00A0681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E705E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A06816">
              <w:rPr>
                <w:bCs/>
                <w:i/>
                <w:sz w:val="24"/>
                <w:szCs w:val="24"/>
              </w:rPr>
              <w:t>належить до зеленої зони</w:t>
            </w:r>
            <w:r w:rsidRPr="00BE705E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EB536F" w14:paraId="3DFF5C39" w14:textId="77777777" w:rsidTr="0019357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19357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575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D0E" w14:textId="708F39F5" w:rsidR="00A02FD6" w:rsidRDefault="00A02FD6" w:rsidP="00A02FD6">
            <w:pPr>
              <w:pStyle w:val="a5"/>
              <w:shd w:val="clear" w:color="auto" w:fill="auto"/>
              <w:spacing w:line="276" w:lineRule="auto"/>
              <w:ind w:firstLine="23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93575">
              <w:rPr>
                <w:i/>
                <w:sz w:val="24"/>
                <w:szCs w:val="24"/>
              </w:rPr>
              <w:t xml:space="preserve">Рішенням Київської міської ради від 18.05.2023 № 6369/6410 затверджено </w:t>
            </w:r>
            <w:r w:rsidRPr="00193575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75:687 у 77 кварталі Святошинського лісництва Комунального підприємства «Святошинське лісопаркове господарство» у Святошинському районі м. Києва, </w:t>
            </w:r>
            <w:r w:rsidRPr="00193575">
              <w:rPr>
                <w:i/>
                <w:iCs/>
                <w:color w:val="000000" w:themeColor="text1"/>
                <w:sz w:val="24"/>
                <w:szCs w:val="24"/>
              </w:rPr>
              <w:t xml:space="preserve">яка включає земельну ділянку з кадастровим номером </w:t>
            </w:r>
            <w:r w:rsidRPr="00193575">
              <w:rPr>
                <w:i/>
                <w:sz w:val="24"/>
                <w:szCs w:val="24"/>
              </w:rPr>
              <w:t>8000000000:</w:t>
            </w:r>
            <w:r w:rsidRPr="00193575">
              <w:rPr>
                <w:bCs/>
                <w:i/>
                <w:sz w:val="24"/>
                <w:szCs w:val="24"/>
              </w:rPr>
              <w:t>75:687:0001</w:t>
            </w:r>
            <w:r w:rsidRPr="00193575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7EF09DF2" w14:textId="77777777" w:rsidR="00BE705E" w:rsidRPr="00BE705E" w:rsidRDefault="00BE705E" w:rsidP="00BE705E">
            <w:pPr>
              <w:spacing w:line="276" w:lineRule="auto"/>
              <w:ind w:firstLine="23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 w:bidi="ar-SA"/>
              </w:rPr>
            </w:pPr>
            <w:r w:rsidRPr="00BE705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 w:bidi="ar-SA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4D174225" w14:textId="3437E1C5" w:rsidR="00A02FD6" w:rsidRPr="00193575" w:rsidRDefault="00A02FD6" w:rsidP="00A02FD6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935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BE70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надання</w:t>
            </w:r>
            <w:r w:rsidRPr="001935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або відмову </w:t>
            </w:r>
            <w:r w:rsidR="00BE70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наданні</w:t>
            </w:r>
            <w:r w:rsidRPr="001935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051710B" w14:textId="77777777" w:rsidR="00A02FD6" w:rsidRPr="00193575" w:rsidRDefault="00A02FD6" w:rsidP="00A02FD6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935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581B9C10" w:rsidR="004D1119" w:rsidRPr="00193575" w:rsidRDefault="00A02FD6" w:rsidP="00A02FD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57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9357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9357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977AD4" w14:textId="77777777" w:rsidR="00A06816" w:rsidRDefault="00A06816" w:rsidP="00A06816">
      <w:pPr>
        <w:pStyle w:val="1"/>
        <w:shd w:val="clear" w:color="auto" w:fill="auto"/>
        <w:tabs>
          <w:tab w:val="left" w:pos="567"/>
        </w:tabs>
        <w:spacing w:after="0"/>
        <w:ind w:left="284" w:firstLine="0"/>
        <w:rPr>
          <w:b/>
          <w:bCs/>
          <w:sz w:val="24"/>
          <w:szCs w:val="24"/>
          <w:lang w:val="uk-UA"/>
        </w:rPr>
      </w:pPr>
    </w:p>
    <w:p w14:paraId="68E7B817" w14:textId="77777777" w:rsidR="00A06816" w:rsidRDefault="00A06816" w:rsidP="00A06816">
      <w:pPr>
        <w:pStyle w:val="1"/>
        <w:shd w:val="clear" w:color="auto" w:fill="auto"/>
        <w:tabs>
          <w:tab w:val="left" w:pos="567"/>
        </w:tabs>
        <w:spacing w:after="0"/>
        <w:ind w:left="284" w:firstLine="0"/>
        <w:rPr>
          <w:b/>
          <w:bCs/>
          <w:sz w:val="24"/>
          <w:szCs w:val="24"/>
          <w:lang w:val="uk-UA"/>
        </w:rPr>
      </w:pPr>
    </w:p>
    <w:p w14:paraId="75D16C0C" w14:textId="18C7CCEE" w:rsidR="004D1119" w:rsidRPr="00193575" w:rsidRDefault="004D1119" w:rsidP="00A0681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5641ED5F" w14:textId="77777777" w:rsidR="00193575" w:rsidRPr="00193575" w:rsidRDefault="00193575" w:rsidP="00193575">
      <w:pPr>
        <w:pStyle w:val="1"/>
        <w:shd w:val="clear" w:color="auto" w:fill="auto"/>
        <w:tabs>
          <w:tab w:val="left" w:pos="567"/>
        </w:tabs>
        <w:spacing w:after="0"/>
        <w:ind w:left="426" w:firstLine="0"/>
        <w:rPr>
          <w:sz w:val="16"/>
          <w:szCs w:val="16"/>
          <w:lang w:val="uk-UA"/>
        </w:rPr>
      </w:pPr>
    </w:p>
    <w:p w14:paraId="5BFC649C" w14:textId="77777777" w:rsidR="00A02FD6" w:rsidRPr="00193575" w:rsidRDefault="00A02FD6" w:rsidP="00A02FD6">
      <w:pPr>
        <w:pStyle w:val="1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CACA643" w14:textId="77777777" w:rsidR="00A02FD6" w:rsidRPr="00193575" w:rsidRDefault="00A02FD6" w:rsidP="00A02FD6">
      <w:pPr>
        <w:pStyle w:val="1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  <w:proofErr w:type="spellStart"/>
      <w:r w:rsidRPr="00193575">
        <w:rPr>
          <w:sz w:val="24"/>
          <w:szCs w:val="24"/>
          <w:lang w:val="uk-UA"/>
        </w:rPr>
        <w:t>Проєкт</w:t>
      </w:r>
      <w:proofErr w:type="spellEnd"/>
      <w:r w:rsidRPr="00193575">
        <w:rPr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6734045" w14:textId="1BBF56F8" w:rsidR="00A02FD6" w:rsidRDefault="00A02FD6" w:rsidP="00A02FD6">
      <w:pPr>
        <w:pStyle w:val="1"/>
        <w:shd w:val="clear" w:color="auto" w:fill="auto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  <w:proofErr w:type="spellStart"/>
      <w:r w:rsidRPr="00193575">
        <w:rPr>
          <w:sz w:val="24"/>
          <w:szCs w:val="24"/>
          <w:lang w:val="uk-UA"/>
        </w:rPr>
        <w:t>Проєкт</w:t>
      </w:r>
      <w:proofErr w:type="spellEnd"/>
      <w:r w:rsidRPr="00193575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782337" w14:textId="77777777" w:rsidR="00193575" w:rsidRPr="00193575" w:rsidRDefault="00193575" w:rsidP="00A02FD6">
      <w:pPr>
        <w:pStyle w:val="1"/>
        <w:shd w:val="clear" w:color="auto" w:fill="auto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</w:p>
    <w:p w14:paraId="2955D0AA" w14:textId="6E5B741A" w:rsidR="004D1119" w:rsidRPr="0019357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5820766" w14:textId="77777777" w:rsidR="00A02FD6" w:rsidRPr="00193575" w:rsidRDefault="00A02FD6" w:rsidP="00A02FD6">
      <w:pPr>
        <w:pStyle w:val="1"/>
        <w:shd w:val="clear" w:color="auto" w:fill="auto"/>
        <w:tabs>
          <w:tab w:val="left" w:pos="624"/>
        </w:tabs>
        <w:spacing w:after="0"/>
        <w:ind w:left="284" w:firstLine="0"/>
        <w:rPr>
          <w:sz w:val="16"/>
          <w:szCs w:val="16"/>
          <w:lang w:val="uk-UA"/>
        </w:rPr>
      </w:pPr>
    </w:p>
    <w:p w14:paraId="0A9F6ADB" w14:textId="77777777" w:rsidR="00A02FD6" w:rsidRPr="00193575" w:rsidRDefault="00A02FD6" w:rsidP="00A02FD6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0D30A55" w14:textId="4E20D7F1" w:rsidR="00A02FD6" w:rsidRPr="00193575" w:rsidRDefault="00A02FD6" w:rsidP="00A02FD6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193575">
        <w:rPr>
          <w:color w:val="000000"/>
          <w:sz w:val="24"/>
          <w:szCs w:val="24"/>
          <w:shd w:val="clear" w:color="auto" w:fill="FFFFFF"/>
          <w:lang w:val="uk-UA"/>
        </w:rPr>
        <w:t> 41 521</w:t>
      </w:r>
      <w:r w:rsidRPr="00193575">
        <w:rPr>
          <w:rFonts w:ascii="Calibri" w:hAnsi="Calibri" w:cs="Calibri"/>
          <w:color w:val="000000"/>
          <w:shd w:val="clear" w:color="auto" w:fill="FFFFFF"/>
          <w:lang w:val="uk-UA"/>
        </w:rPr>
        <w:t xml:space="preserve"> </w:t>
      </w:r>
      <w:r w:rsidRPr="00193575">
        <w:rPr>
          <w:sz w:val="24"/>
          <w:szCs w:val="24"/>
          <w:lang w:val="uk-UA"/>
        </w:rPr>
        <w:t xml:space="preserve">грн </w:t>
      </w:r>
      <w:r w:rsidRPr="00193575">
        <w:rPr>
          <w:color w:val="000000"/>
          <w:sz w:val="24"/>
          <w:szCs w:val="24"/>
          <w:shd w:val="clear" w:color="auto" w:fill="FFFFFF"/>
          <w:lang w:val="uk-UA"/>
        </w:rPr>
        <w:t xml:space="preserve">49 </w:t>
      </w:r>
      <w:r w:rsidRPr="00193575">
        <w:rPr>
          <w:sz w:val="24"/>
          <w:szCs w:val="24"/>
          <w:lang w:val="uk-UA"/>
        </w:rPr>
        <w:t xml:space="preserve"> коп. ( 0,1 %).</w:t>
      </w:r>
    </w:p>
    <w:p w14:paraId="725CB72A" w14:textId="77777777" w:rsidR="00A02FD6" w:rsidRPr="00193575" w:rsidRDefault="00A02FD6" w:rsidP="00A02FD6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i/>
          <w:sz w:val="24"/>
          <w:szCs w:val="24"/>
          <w:lang w:val="uk-UA"/>
        </w:rPr>
      </w:pPr>
    </w:p>
    <w:p w14:paraId="6498103B" w14:textId="4520BA73" w:rsidR="004D1119" w:rsidRPr="00193575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9357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39DAD3D" w14:textId="77777777" w:rsidR="006671FD" w:rsidRPr="00193575" w:rsidRDefault="006671FD" w:rsidP="006671FD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  <w:lang w:val="uk-UA"/>
        </w:rPr>
      </w:pPr>
    </w:p>
    <w:p w14:paraId="7FA55B6B" w14:textId="4A4A384E" w:rsidR="00DE2073" w:rsidRPr="00193575" w:rsidRDefault="006671FD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19357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93575">
        <w:rPr>
          <w:sz w:val="24"/>
          <w:szCs w:val="24"/>
          <w:lang w:val="uk-UA"/>
        </w:rPr>
        <w:t>проєкту</w:t>
      </w:r>
      <w:proofErr w:type="spellEnd"/>
      <w:r w:rsidRPr="0019357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193575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193575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9357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9357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9357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9357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9357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9357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9357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9357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193575" w:rsidRDefault="0050254F">
      <w:pPr>
        <w:rPr>
          <w:lang w:val="uk-UA"/>
        </w:rPr>
      </w:pPr>
    </w:p>
    <w:p w14:paraId="55A8AA42" w14:textId="77777777" w:rsidR="00E41057" w:rsidRPr="00193575" w:rsidRDefault="00E41057">
      <w:pPr>
        <w:rPr>
          <w:lang w:val="uk-UA"/>
        </w:rPr>
      </w:pPr>
    </w:p>
    <w:sectPr w:rsidR="00E41057" w:rsidRPr="00193575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062FEE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F4D07E2" w14:textId="77777777" w:rsidR="006671FD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7D3BBA7D" w:rsidR="00854FAD" w:rsidRPr="00643941" w:rsidRDefault="006671FD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93E6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ПЗН-65365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17.04.2024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93E6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746811446</w:t>
                              </w:r>
                            </w:p>
                            <w:p w14:paraId="46F472CC" w14:textId="54F77156" w:rsidR="00854FAD" w:rsidRPr="00F067D5" w:rsidRDefault="006671FD" w:rsidP="006671FD">
                              <w:pPr>
                                <w:pStyle w:val="ab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F067D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F067D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B536F" w:rsidRPr="00EB536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6PgIAAE4EAAAOAAAAZHJzL2Uyb0RvYy54bWysVM2O0zAQviPxDpbvNG3U8hM1XZVdFSFV&#10;uyt10Z5dx24ixR5ju03KjTuvwDtw4MCNV+i+EWMn7ZaFE+Lijmem45nv+ybTi1bVZCesq0DndDQY&#10;UiI0h6LSm5x+uFu8eE2J80wXrAYtcroXjl7Mnj+bNiYTKZRQF8ISLKJd1piclt6bLEkcL4VibgBG&#10;aAxKsIp5vNpNUljWYHVVJ+lw+DJpwBbGAhfOofeqC9JZrC+l4P5GSic8qXOKvfl42niuw5nMpizb&#10;WGbKivdtsH/oQrFK46OnUlfMM7K11R+lVMUtOJB+wEElIGXFRZwBpxkNn0yzKpkRcRYEx5kTTO7/&#10;leXXu1tLqiKnKSWaKaTo8PXw7fD98PPw4+HzwxeSBowa4zJMXRlM9u1baJHro9+hM4zeSqvCLw5F&#10;MI5o708Ii9YTjs7JeDRE2ijhGJtM0vEkUpA8/ttY598JUCQYObXIYASW7ZbOYyeYekwJj2lYVHUd&#10;Waz1bw5MDJ4ktN61GCzfrtt+njUUexzHQicKZ/iiwjeXzPlbZlEF2CYq29/gIWtocgq9RUkJ9tPf&#10;/CEfycEoJQ2qKqfu45ZZQUn9XiNtb0bjcZBhvIwnr1K82PPI+jyit+oSULgj3CHDoxnyfX00pQV1&#10;jwswD69iiGmOb+fUH81L32kdF4iL+TwmofAM80u9MjyUDqAFRO/ae2ZND7tHwq7hqD+WPUG/y+3g&#10;nm89yCpSEwDuUO1xR9FGxvoFC1txfo9Zj5+B2S8AAAD//wMAUEsDBBQABgAIAAAAIQAh4ace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mae84Uqohxlb&#10;Rw1JkoAscvl/Q/ELAAD//wMAUEsBAi0AFAAGAAgAAAAhALaDOJL+AAAA4QEAABMAAAAAAAAAAAAA&#10;AAAAAAAAAFtDb250ZW50X1R5cGVzXS54bWxQSwECLQAUAAYACAAAACEAOP0h/9YAAACUAQAACwAA&#10;AAAAAAAAAAAAAAAvAQAAX3JlbHMvLnJlbHNQSwECLQAUAAYACAAAACEA8p6bej4CAABOBAAADgAA&#10;AAAAAAAAAAAAAAAuAgAAZHJzL2Uyb0RvYy54bWxQSwECLQAUAAYACAAAACEAIeGnH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F4D07E2" w14:textId="77777777" w:rsidR="006671FD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7D3BBA7D" w:rsidR="00854FAD" w:rsidRPr="00643941" w:rsidRDefault="006671FD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93E6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ПЗН-65365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17.04.2024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93E6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746811446</w:t>
                        </w:r>
                      </w:p>
                      <w:p w14:paraId="46F472CC" w14:textId="54F77156" w:rsidR="00854FAD" w:rsidRPr="00F067D5" w:rsidRDefault="006671FD" w:rsidP="006671FD">
                        <w:pPr>
                          <w:pStyle w:val="ab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F067D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F067D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B536F" w:rsidRPr="00EB536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93575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A162C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671FD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257F"/>
    <w:rsid w:val="009946E5"/>
    <w:rsid w:val="009D6F39"/>
    <w:rsid w:val="009E5D57"/>
    <w:rsid w:val="00A02FD6"/>
    <w:rsid w:val="00A06816"/>
    <w:rsid w:val="00A21758"/>
    <w:rsid w:val="00A43048"/>
    <w:rsid w:val="00A62E96"/>
    <w:rsid w:val="00A83DF0"/>
    <w:rsid w:val="00AC0A9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BE705E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B536F"/>
    <w:rsid w:val="00ED4D52"/>
    <w:rsid w:val="00F067D5"/>
    <w:rsid w:val="00F72F9E"/>
    <w:rsid w:val="00F93E61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F428-8A12-464B-A455-438CD9A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6227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10</cp:revision>
  <cp:lastPrinted>2024-06-05T12:19:00Z</cp:lastPrinted>
  <dcterms:created xsi:type="dcterms:W3CDTF">2024-04-17T08:11:00Z</dcterms:created>
  <dcterms:modified xsi:type="dcterms:W3CDTF">2024-06-05T12:27:00Z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