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CF241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745073391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745073391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14:paraId="53B68056" w14:textId="77777777" w:rsidR="00B30291" w:rsidRPr="00CF241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ПЗН-78920 </w:t>
      </w:r>
      <w:proofErr w:type="spellStart"/>
      <w:r w:rsidRPr="00CF2418">
        <w:rPr>
          <w:b/>
          <w:bCs/>
          <w:i w:val="0"/>
          <w:iCs w:val="0"/>
          <w:sz w:val="24"/>
          <w:szCs w:val="24"/>
        </w:rPr>
        <w:t>від</w:t>
      </w:r>
      <w:proofErr w:type="spellEnd"/>
      <w:r w:rsidRPr="00CF2418">
        <w:rPr>
          <w:b/>
          <w:bCs/>
          <w:i w:val="0"/>
          <w:iCs w:val="0"/>
          <w:sz w:val="24"/>
          <w:szCs w:val="24"/>
        </w:rPr>
        <w:t xml:space="preserve"> </w:t>
      </w:r>
      <w:r w:rsidRPr="00CF2418">
        <w:rPr>
          <w:b/>
          <w:bCs/>
          <w:i w:val="0"/>
          <w:sz w:val="24"/>
          <w:szCs w:val="24"/>
        </w:rPr>
        <w:t>07.03.2025</w:t>
      </w:r>
    </w:p>
    <w:p w14:paraId="1B663883" w14:textId="77777777" w:rsidR="00B30291" w:rsidRPr="00CF2418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proofErr w:type="spellStart"/>
      <w:r w:rsidRPr="00D20CC6">
        <w:rPr>
          <w:i w:val="0"/>
          <w:iCs w:val="0"/>
          <w:sz w:val="24"/>
          <w:szCs w:val="24"/>
        </w:rPr>
        <w:t>до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рішення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Київської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міської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ради</w:t>
      </w:r>
      <w:proofErr w:type="spellEnd"/>
      <w:r w:rsidRPr="00CF2418">
        <w:rPr>
          <w:i w:val="0"/>
          <w:sz w:val="24"/>
          <w:szCs w:val="24"/>
        </w:rPr>
        <w:t>:</w:t>
      </w:r>
    </w:p>
    <w:p w14:paraId="0916C809" w14:textId="5F294CB9" w:rsidR="00B30291" w:rsidRPr="0049679E" w:rsidRDefault="0049679E" w:rsidP="00F157E6">
      <w:pPr>
        <w:pStyle w:val="a4"/>
        <w:shd w:val="clear" w:color="auto" w:fill="auto"/>
        <w:spacing w:line="266" w:lineRule="auto"/>
        <w:ind w:right="2126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49679E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КОМУНАЛЬНОМУ ПІДПРИЄМСТВУ ВИКОНАВЧОГО ОРГАНУ КИЇВРАДИ (КИЇВСЬКОЇ МІСЬКОЇ ДЕРЖАВНОЇ АДМІНІСТРАЦІЇ) «КИЇВТЕПЛОЕНЕРГО»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49679E">
        <w:rPr>
          <w:rStyle w:val="ac"/>
          <w:b/>
          <w:color w:val="000000" w:themeColor="text1"/>
          <w:sz w:val="24"/>
          <w:szCs w:val="24"/>
        </w:rPr>
        <w:t>постійне</w:t>
      </w:r>
      <w:proofErr w:type="spellEnd"/>
      <w:r w:rsidRPr="0049679E">
        <w:rPr>
          <w:rStyle w:val="ac"/>
          <w:b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rStyle w:val="ac"/>
          <w:b/>
          <w:color w:val="000000" w:themeColor="text1"/>
          <w:sz w:val="24"/>
          <w:szCs w:val="24"/>
        </w:rPr>
        <w:t>користування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для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r w:rsidR="006875EF" w:rsidRPr="006875EF">
        <w:rPr>
          <w:rStyle w:val="ac"/>
          <w:b/>
          <w:sz w:val="24"/>
          <w:szCs w:val="24"/>
          <w:lang w:val="uk-UA"/>
        </w:rPr>
        <w:t>розміщення</w:t>
      </w:r>
      <w:r w:rsidRPr="0049679E">
        <w:rPr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лінійних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об’єктів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енергетичної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інфраструктури</w:t>
      </w:r>
      <w:proofErr w:type="spellEnd"/>
      <w:r w:rsidRPr="0049679E">
        <w:rPr>
          <w:b/>
          <w:i/>
          <w:color w:val="000000"/>
          <w:sz w:val="24"/>
          <w:szCs w:val="24"/>
          <w:lang w:bidi="uk-UA"/>
        </w:rPr>
        <w:t xml:space="preserve">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перетині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Ревуцького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Вишняківської</w:t>
      </w:r>
      <w:proofErr w:type="spellEnd"/>
      <w:r w:rsidRPr="0049679E">
        <w:rPr>
          <w:b/>
          <w:i/>
          <w:iCs/>
          <w:color w:val="000000" w:themeColor="text1"/>
          <w:sz w:val="24"/>
          <w:szCs w:val="24"/>
        </w:rPr>
        <w:t xml:space="preserve"> </w:t>
      </w:r>
      <w:r w:rsidRPr="0049679E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49679E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49679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9679E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4A04B8A4" w14:textId="77777777"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49679E" w:rsidRPr="00CF2418" w14:paraId="2AF076D2" w14:textId="77777777" w:rsidTr="00F157E6">
        <w:trPr>
          <w:cantSplit/>
          <w:trHeight w:val="1118"/>
        </w:trPr>
        <w:tc>
          <w:tcPr>
            <w:tcW w:w="3266" w:type="dxa"/>
          </w:tcPr>
          <w:p w14:paraId="68C5FC27" w14:textId="77777777" w:rsidR="0049679E" w:rsidRPr="00CF2418" w:rsidRDefault="0049679E" w:rsidP="0049679E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4E1FE333" w:rsidR="0049679E" w:rsidRPr="00AC6C1F" w:rsidRDefault="0049679E" w:rsidP="0049679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  <w:lang w:val="uk-UA" w:bidi="uk-UA"/>
              </w:rPr>
              <w:t xml:space="preserve">КОМУНАЛЬНЕ ПІДПРИЄМСТВО ВИКОНАВЧОГО ОРГАНУ КИЇВРАДИ (КИЇВСЬКОЇ МІСЬКОЇ ДЕРЖАВНОЇ АДМІНІСТРАЦІЇ) «КИЇВТЕПЛОЕНЕРГО» </w:t>
            </w:r>
            <w:r>
              <w:rPr>
                <w:b w:val="0"/>
                <w:i/>
                <w:sz w:val="24"/>
                <w:szCs w:val="24"/>
                <w:lang w:val="uk-UA" w:bidi="uk-UA"/>
              </w:rPr>
              <w:t xml:space="preserve">(далі - 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 w:bidi="uk-UA"/>
              </w:rPr>
              <w:t xml:space="preserve">КП </w:t>
            </w:r>
            <w:r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uk-UA" w:bidi="uk-UA"/>
              </w:rPr>
              <w:t>«КИЇВТЕПЛОЕНЕРГО»)</w:t>
            </w:r>
          </w:p>
        </w:tc>
      </w:tr>
      <w:tr w:rsidR="0049679E" w:rsidRPr="00CF2418" w14:paraId="5DC74608" w14:textId="77777777" w:rsidTr="00F157E6">
        <w:trPr>
          <w:cantSplit/>
          <w:trHeight w:val="732"/>
        </w:trPr>
        <w:tc>
          <w:tcPr>
            <w:tcW w:w="3266" w:type="dxa"/>
          </w:tcPr>
          <w:p w14:paraId="660B24F6" w14:textId="77777777" w:rsidR="0049679E" w:rsidRPr="00AC6C1F" w:rsidRDefault="0049679E" w:rsidP="0049679E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4AF0B48A" w:rsidR="0049679E" w:rsidRPr="00AC6C1F" w:rsidRDefault="0049679E" w:rsidP="0049679E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15C91214" w14:textId="385BE8B4" w:rsidR="0049679E" w:rsidRPr="00AC6C1F" w:rsidRDefault="0049679E" w:rsidP="0049679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shd w:val="clear" w:color="auto" w:fill="FFFFFF"/>
                <w:lang w:val="uk-UA" w:bidi="uk-UA"/>
              </w:rPr>
              <w:t>КИЇВСЬКА МІСЬКА РАДА</w:t>
            </w:r>
            <w:r>
              <w:rPr>
                <w:b w:val="0"/>
                <w:i/>
                <w:sz w:val="24"/>
                <w:szCs w:val="24"/>
                <w:lang w:val="uk-UA" w:bidi="uk-UA"/>
              </w:rPr>
              <w:br/>
            </w:r>
            <w:r>
              <w:rPr>
                <w:b w:val="0"/>
                <w:i/>
                <w:sz w:val="24"/>
                <w:szCs w:val="24"/>
                <w:shd w:val="clear" w:color="auto" w:fill="FFFFFF"/>
                <w:lang w:val="uk-UA" w:bidi="uk-UA"/>
              </w:rPr>
              <w:t>Код ЄДРПОУ засновника: 22883141</w:t>
            </w:r>
            <w:r>
              <w:rPr>
                <w:b w:val="0"/>
                <w:i/>
                <w:sz w:val="24"/>
                <w:szCs w:val="24"/>
                <w:lang w:val="uk-UA" w:bidi="uk-UA"/>
              </w:rPr>
              <w:br/>
            </w:r>
            <w:r>
              <w:rPr>
                <w:b w:val="0"/>
                <w:i/>
                <w:sz w:val="24"/>
                <w:szCs w:val="24"/>
                <w:shd w:val="clear" w:color="auto" w:fill="FFFFFF"/>
                <w:lang w:val="uk-UA" w:bidi="uk-UA"/>
              </w:rPr>
              <w:t>Адреса засновника: 01044, м. Київ, вул. Хрещатик, 36</w:t>
            </w:r>
          </w:p>
        </w:tc>
      </w:tr>
      <w:tr w:rsidR="0049679E" w:rsidRPr="00CF2418" w14:paraId="18172CC5" w14:textId="77777777" w:rsidTr="0049679E">
        <w:trPr>
          <w:cantSplit/>
          <w:trHeight w:val="619"/>
        </w:trPr>
        <w:tc>
          <w:tcPr>
            <w:tcW w:w="3266" w:type="dxa"/>
          </w:tcPr>
          <w:p w14:paraId="40D686A9" w14:textId="77777777" w:rsidR="0049679E" w:rsidRDefault="0049679E" w:rsidP="0049679E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21303320" w:rsidR="0049679E" w:rsidRPr="00B30291" w:rsidRDefault="0049679E" w:rsidP="0049679E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14D4B229" w:rsidR="0049679E" w:rsidRPr="00AC6C1F" w:rsidRDefault="0049679E" w:rsidP="0049679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19"/>
                <w:lang w:val="uk-UA" w:bidi="uk-UA"/>
              </w:rPr>
              <w:t>Відсутній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05.03.2025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745073391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F157E6" w:rsidRDefault="00B30291" w:rsidP="00E90C7D">
      <w:pPr>
        <w:pStyle w:val="a7"/>
        <w:shd w:val="clear" w:color="auto" w:fill="auto"/>
        <w:ind w:left="353" w:firstLine="142"/>
        <w:rPr>
          <w:szCs w:val="24"/>
          <w:lang w:val="ru-RU"/>
        </w:rPr>
      </w:pPr>
    </w:p>
    <w:p w14:paraId="5EB468A3" w14:textId="77777777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CF2418">
        <w:rPr>
          <w:sz w:val="24"/>
          <w:szCs w:val="24"/>
        </w:rPr>
        <w:t>8000000000:90:291:0069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49679E">
            <w:pPr>
              <w:pStyle w:val="a4"/>
              <w:shd w:val="clear" w:color="auto" w:fill="auto"/>
              <w:spacing w:line="233" w:lineRule="auto"/>
              <w:ind w:left="136" w:right="561" w:firstLine="4"/>
              <w:jc w:val="both"/>
              <w:rPr>
                <w:sz w:val="24"/>
                <w:szCs w:val="24"/>
              </w:rPr>
            </w:pPr>
            <w:r w:rsidRPr="00AC6C1F">
              <w:rPr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Київ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р-н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Дарницький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перетин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вул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Ревуцького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та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вул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Вишняківської</w:t>
            </w:r>
            <w:proofErr w:type="spellEnd"/>
          </w:p>
        </w:tc>
      </w:tr>
      <w:tr w:rsidR="00B30291" w14:paraId="2FE40A2A" w14:textId="77777777" w:rsidTr="00F157E6">
        <w:trPr>
          <w:trHeight w:hRule="exact" w:val="322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49679E">
            <w:pPr>
              <w:pStyle w:val="a4"/>
              <w:shd w:val="clear" w:color="auto" w:fill="auto"/>
              <w:ind w:left="136" w:firstLine="4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0,2339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49679E" w14:paraId="22F8D86A" w14:textId="77777777" w:rsidTr="0049679E">
        <w:trPr>
          <w:trHeight w:hRule="exact" w:val="351"/>
        </w:trPr>
        <w:tc>
          <w:tcPr>
            <w:tcW w:w="3260" w:type="dxa"/>
            <w:shd w:val="clear" w:color="auto" w:fill="FFFFFF"/>
            <w:vAlign w:val="bottom"/>
          </w:tcPr>
          <w:p w14:paraId="0D1696DC" w14:textId="25472204" w:rsidR="0049679E" w:rsidRPr="00726D11" w:rsidRDefault="0049679E" w:rsidP="0049679E">
            <w:pPr>
              <w:pStyle w:val="a4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термін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6A6402D" w14:textId="69E441F8" w:rsidR="0049679E" w:rsidRPr="00AC6C1F" w:rsidRDefault="0049679E" w:rsidP="0049679E">
            <w:pPr>
              <w:pStyle w:val="a4"/>
              <w:shd w:val="clear" w:color="auto" w:fill="auto"/>
              <w:ind w:left="136" w:firstLine="4"/>
              <w:jc w:val="both"/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право в процесі оформлення (постійне користування)</w:t>
            </w:r>
          </w:p>
        </w:tc>
      </w:tr>
      <w:tr w:rsidR="0049679E" w14:paraId="6763E525" w14:textId="77777777" w:rsidTr="00500CE2">
        <w:trPr>
          <w:trHeight w:hRule="exact" w:val="853"/>
        </w:trPr>
        <w:tc>
          <w:tcPr>
            <w:tcW w:w="3260" w:type="dxa"/>
            <w:shd w:val="clear" w:color="auto" w:fill="FFFFFF"/>
          </w:tcPr>
          <w:p w14:paraId="3F931AB9" w14:textId="14854E83" w:rsidR="0049679E" w:rsidRPr="00CF2418" w:rsidRDefault="0049679E" w:rsidP="0049679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7A8D09C7" w:rsidR="0049679E" w:rsidRPr="00AC6C1F" w:rsidRDefault="0049679E" w:rsidP="00500CE2">
            <w:pPr>
              <w:pStyle w:val="a4"/>
              <w:shd w:val="clear" w:color="auto" w:fill="auto"/>
              <w:ind w:left="136" w:right="136" w:firstLine="4"/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highlight w:val="white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9679E" w14:paraId="4EEB19B1" w14:textId="77777777" w:rsidTr="00F157E6">
        <w:trPr>
          <w:trHeight w:hRule="exact" w:val="2673"/>
        </w:trPr>
        <w:tc>
          <w:tcPr>
            <w:tcW w:w="3260" w:type="dxa"/>
            <w:shd w:val="clear" w:color="auto" w:fill="FFFFFF"/>
          </w:tcPr>
          <w:p w14:paraId="7E5AA3FD" w14:textId="62AE86BB" w:rsidR="0049679E" w:rsidRPr="00B30291" w:rsidRDefault="0049679E" w:rsidP="0049679E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5C738D8C" w14:textId="32B16EA0" w:rsidR="0049679E" w:rsidRPr="00500CE2" w:rsidRDefault="0049679E" w:rsidP="00500CE2">
            <w:pPr>
              <w:pStyle w:val="a4"/>
              <w:shd w:val="clear" w:color="auto" w:fill="auto"/>
              <w:tabs>
                <w:tab w:val="left" w:pos="5941"/>
              </w:tabs>
              <w:spacing w:line="256" w:lineRule="auto"/>
              <w:ind w:left="136" w:right="136"/>
              <w:jc w:val="both"/>
              <w:rPr>
                <w:rStyle w:val="ac"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white"/>
                <w:lang w:val="uk-UA"/>
              </w:rPr>
              <w:t xml:space="preserve">існуюче </w:t>
            </w:r>
            <w:r>
              <w:rPr>
                <w:i/>
                <w:sz w:val="24"/>
                <w:szCs w:val="24"/>
                <w:lang w:val="uk-UA"/>
              </w:rPr>
              <w:t xml:space="preserve">- </w:t>
            </w:r>
            <w:r w:rsidR="00500CE2" w:rsidRPr="00500CE2">
              <w:rPr>
                <w:i/>
                <w:iCs/>
                <w:sz w:val="24"/>
                <w:szCs w:val="24"/>
                <w:lang w:val="uk-UA"/>
              </w:rPr>
              <w:t>для будівництва, експлуатації та обслуговування насосної станції</w:t>
            </w:r>
            <w:r w:rsidRPr="00500CE2">
              <w:rPr>
                <w:rStyle w:val="ac"/>
                <w:i w:val="0"/>
                <w:sz w:val="24"/>
                <w:szCs w:val="24"/>
                <w:lang w:val="uk-UA"/>
              </w:rPr>
              <w:t>;</w:t>
            </w:r>
          </w:p>
          <w:p w14:paraId="580A16FD" w14:textId="77777777" w:rsidR="0049679E" w:rsidRPr="00F157E6" w:rsidRDefault="0049679E" w:rsidP="00500CE2">
            <w:pPr>
              <w:pStyle w:val="a4"/>
              <w:shd w:val="clear" w:color="auto" w:fill="auto"/>
              <w:tabs>
                <w:tab w:val="left" w:pos="5941"/>
              </w:tabs>
              <w:spacing w:line="256" w:lineRule="auto"/>
              <w:ind w:left="136" w:right="136"/>
              <w:jc w:val="both"/>
              <w:rPr>
                <w:i/>
                <w:sz w:val="8"/>
                <w:szCs w:val="24"/>
                <w:highlight w:val="white"/>
              </w:rPr>
            </w:pPr>
          </w:p>
          <w:p w14:paraId="217CE1B1" w14:textId="0935AE70" w:rsidR="0049679E" w:rsidRPr="00500CE2" w:rsidRDefault="0049679E" w:rsidP="00500CE2">
            <w:pPr>
              <w:pStyle w:val="a4"/>
              <w:shd w:val="clear" w:color="auto" w:fill="auto"/>
              <w:ind w:left="136" w:right="136" w:firstLine="4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highlight w:val="white"/>
                <w:lang w:val="uk-UA"/>
              </w:rPr>
              <w:t>проєктне</w:t>
            </w:r>
            <w:proofErr w:type="spellEnd"/>
            <w:r>
              <w:rPr>
                <w:i/>
                <w:sz w:val="24"/>
                <w:szCs w:val="24"/>
                <w:highlight w:val="white"/>
                <w:lang w:val="uk-UA"/>
              </w:rPr>
              <w:t xml:space="preserve"> - 11.04</w:t>
            </w:r>
            <w:r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</w:t>
            </w:r>
            <w:r w:rsidRPr="00703A5A">
              <w:rPr>
                <w:rStyle w:val="ac"/>
                <w:sz w:val="24"/>
                <w:szCs w:val="24"/>
                <w:lang w:val="uk-UA"/>
              </w:rPr>
              <w:t>збирання, очищення та розподілення води)</w:t>
            </w:r>
            <w:r w:rsidR="00500CE2" w:rsidRPr="00703A5A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500CE2" w:rsidRPr="00703A5A">
              <w:rPr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для </w:t>
            </w:r>
            <w:r w:rsidR="006875EF">
              <w:rPr>
                <w:rStyle w:val="ac"/>
                <w:sz w:val="24"/>
                <w:szCs w:val="24"/>
                <w:lang w:val="uk-UA"/>
              </w:rPr>
              <w:t>розміщення</w:t>
            </w:r>
            <w:r w:rsidR="00500CE2" w:rsidRPr="00703A5A">
              <w:rPr>
                <w:i/>
                <w:iCs/>
                <w:color w:val="000000" w:themeColor="text1"/>
                <w:sz w:val="24"/>
                <w:szCs w:val="24"/>
                <w:lang w:val="uk-UA"/>
              </w:rPr>
              <w:t>, обслуговування лінійних об’єктів енергетичної інфраструктури)</w:t>
            </w: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1E757317" w14:textId="5F39FC15" w:rsidR="00500CE2" w:rsidRPr="00500CE2" w:rsidRDefault="00500CE2" w:rsidP="00500CE2">
            <w:pPr>
              <w:pStyle w:val="a4"/>
              <w:ind w:left="140"/>
              <w:rPr>
                <w:rStyle w:val="ac"/>
                <w:iCs w:val="0"/>
                <w:color w:val="000000" w:themeColor="text1"/>
                <w:sz w:val="24"/>
                <w:szCs w:val="24"/>
                <w:lang w:val="uk-UA"/>
              </w:rPr>
            </w:pPr>
            <w:r w:rsidRPr="00500CE2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>існуюча -</w:t>
            </w:r>
            <w:r w:rsidRPr="00500CE2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F6419E" w:rsidRPr="00F6419E">
              <w:rPr>
                <w:bCs/>
                <w:i/>
                <w:sz w:val="24"/>
                <w:szCs w:val="24"/>
              </w:rPr>
              <w:t>1 672 178</w:t>
            </w:r>
            <w:r w:rsidR="00F6419E">
              <w:rPr>
                <w:b/>
                <w:bCs/>
                <w:lang w:val="uk-UA"/>
              </w:rPr>
              <w:t xml:space="preserve"> </w:t>
            </w:r>
            <w:r w:rsidRPr="00500CE2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 xml:space="preserve">грн </w:t>
            </w:r>
            <w:r w:rsidR="00F6419E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>26</w:t>
            </w:r>
            <w:r w:rsidRPr="00500CE2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CE2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>коп</w:t>
            </w:r>
            <w:proofErr w:type="spellEnd"/>
            <w:r w:rsidRPr="00500CE2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2C7E83FA" w14:textId="72C8F405" w:rsidR="00B30291" w:rsidRPr="008F240B" w:rsidRDefault="00500CE2" w:rsidP="00703A5A">
            <w:pPr>
              <w:pStyle w:val="a4"/>
              <w:ind w:left="140"/>
              <w:rPr>
                <w:rStyle w:val="ac"/>
                <w:b/>
                <w:iCs w:val="0"/>
                <w:sz w:val="24"/>
                <w:szCs w:val="24"/>
              </w:rPr>
            </w:pPr>
            <w:proofErr w:type="spellStart"/>
            <w:r w:rsidRPr="00500CE2">
              <w:rPr>
                <w:rStyle w:val="ac"/>
                <w:color w:val="000000" w:themeColor="text1"/>
                <w:sz w:val="24"/>
                <w:szCs w:val="24"/>
              </w:rPr>
              <w:t>проєктна</w:t>
            </w:r>
            <w:proofErr w:type="spellEnd"/>
            <w:r w:rsidRPr="00500CE2">
              <w:rPr>
                <w:rStyle w:val="ac"/>
                <w:color w:val="000000" w:themeColor="text1"/>
                <w:sz w:val="24"/>
                <w:szCs w:val="24"/>
              </w:rPr>
              <w:t xml:space="preserve"> - </w:t>
            </w:r>
            <w:r w:rsidR="00703A5A" w:rsidRPr="00703A5A">
              <w:rPr>
                <w:bCs/>
                <w:i/>
                <w:sz w:val="24"/>
                <w:szCs w:val="24"/>
              </w:rPr>
              <w:t>2 173 831</w:t>
            </w:r>
            <w:r w:rsidR="00703A5A">
              <w:rPr>
                <w:b/>
                <w:bCs/>
                <w:lang w:val="uk-UA"/>
              </w:rPr>
              <w:t xml:space="preserve"> </w:t>
            </w:r>
            <w:proofErr w:type="spellStart"/>
            <w:r w:rsidRPr="00500CE2">
              <w:rPr>
                <w:rStyle w:val="ac"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500CE2">
              <w:rPr>
                <w:rStyle w:val="ac"/>
                <w:color w:val="000000" w:themeColor="text1"/>
                <w:sz w:val="24"/>
                <w:szCs w:val="24"/>
              </w:rPr>
              <w:t xml:space="preserve"> 7</w:t>
            </w:r>
            <w:r w:rsidR="00703A5A">
              <w:rPr>
                <w:rStyle w:val="ac"/>
                <w:color w:val="000000" w:themeColor="text1"/>
                <w:sz w:val="24"/>
                <w:szCs w:val="24"/>
                <w:lang w:val="uk-UA"/>
              </w:rPr>
              <w:t>4</w:t>
            </w:r>
            <w:r w:rsidRPr="00500CE2">
              <w:rPr>
                <w:rStyle w:val="a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0CE2">
              <w:rPr>
                <w:rStyle w:val="ac"/>
                <w:color w:val="000000" w:themeColor="text1"/>
                <w:sz w:val="24"/>
                <w:szCs w:val="24"/>
              </w:rPr>
              <w:t>коп</w:t>
            </w:r>
            <w:proofErr w:type="spellEnd"/>
            <w:r w:rsidRPr="00500CE2">
              <w:rPr>
                <w:rStyle w:val="ac"/>
                <w:color w:val="000000" w:themeColor="text1"/>
                <w:sz w:val="24"/>
                <w:szCs w:val="24"/>
              </w:rPr>
              <w:t>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84395EC" w14:textId="77777777" w:rsidR="00F157E6" w:rsidRPr="00F157E6" w:rsidRDefault="00F157E6" w:rsidP="00F157E6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8"/>
          <w:szCs w:val="24"/>
          <w:lang w:val="uk-UA"/>
        </w:rPr>
      </w:pPr>
    </w:p>
    <w:p w14:paraId="712877AA" w14:textId="0578D9AE" w:rsidR="00B30291" w:rsidRPr="00265722" w:rsidRDefault="00B30291" w:rsidP="00F157E6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6E2BD887" w14:textId="77777777" w:rsidR="00500CE2" w:rsidRDefault="00500CE2" w:rsidP="00F157E6">
      <w:pPr>
        <w:pStyle w:val="1"/>
        <w:shd w:val="clear" w:color="auto" w:fill="auto"/>
        <w:spacing w:after="40"/>
        <w:ind w:firstLine="426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 xml:space="preserve">На замовлення зацікавленої особи землевпорядною організацією розроблено </w:t>
      </w: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землеустрою щодо відведення земельної ділянки, на підставі якого та 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                       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Київської міської                    ради.</w:t>
      </w:r>
    </w:p>
    <w:p w14:paraId="6B790D83" w14:textId="77777777" w:rsidR="00500CE2" w:rsidRDefault="00500CE2" w:rsidP="00500CE2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>
        <w:rPr>
          <w:b/>
          <w:bCs/>
          <w:i w:val="0"/>
          <w:sz w:val="24"/>
          <w:szCs w:val="24"/>
          <w:lang w:val="uk-UA"/>
        </w:rPr>
        <w:lastRenderedPageBreak/>
        <w:t>4. Мета прийняття рішення.</w:t>
      </w:r>
    </w:p>
    <w:p w14:paraId="1E08437E" w14:textId="77777777" w:rsidR="00500CE2" w:rsidRDefault="00500CE2" w:rsidP="00500CE2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3E11F7A4" w14:textId="77777777" w:rsidR="00500CE2" w:rsidRPr="0062023F" w:rsidRDefault="00500CE2" w:rsidP="00500CE2">
      <w:pPr>
        <w:pStyle w:val="1"/>
        <w:shd w:val="clear" w:color="auto" w:fill="auto"/>
        <w:ind w:firstLine="440"/>
        <w:jc w:val="both"/>
        <w:rPr>
          <w:sz w:val="10"/>
          <w:szCs w:val="24"/>
          <w:lang w:val="uk-UA"/>
        </w:rPr>
      </w:pPr>
    </w:p>
    <w:p w14:paraId="52561143" w14:textId="77777777" w:rsidR="00500CE2" w:rsidRDefault="00500CE2" w:rsidP="00500CE2">
      <w:pPr>
        <w:pStyle w:val="a7"/>
        <w:shd w:val="clear" w:color="auto" w:fill="auto"/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500CE2" w14:paraId="4DAA6608" w14:textId="77777777" w:rsidTr="00500CE2">
        <w:trPr>
          <w:cantSplit/>
          <w:trHeight w:val="5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2A81" w14:textId="77777777" w:rsidR="00500CE2" w:rsidRDefault="00500CE2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 w:bidi="uk-UA"/>
              </w:rPr>
            </w:pPr>
            <w:r>
              <w:rPr>
                <w:i w:val="0"/>
                <w:sz w:val="24"/>
                <w:szCs w:val="24"/>
                <w:lang w:val="uk-UA" w:bidi="uk-UA"/>
              </w:rPr>
              <w:t xml:space="preserve"> Наявність будівель і споруд  </w:t>
            </w:r>
          </w:p>
          <w:p w14:paraId="3B2877AC" w14:textId="77777777" w:rsidR="00500CE2" w:rsidRDefault="00500CE2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 w:bidi="uk-UA"/>
              </w:rPr>
            </w:pPr>
            <w:r>
              <w:rPr>
                <w:i w:val="0"/>
                <w:sz w:val="24"/>
                <w:szCs w:val="24"/>
                <w:lang w:val="uk-UA" w:bidi="uk-UA"/>
              </w:rPr>
              <w:t xml:space="preserve"> на ділянці: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CF0A" w14:textId="77777777" w:rsidR="00500CE2" w:rsidRDefault="00500CE2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вільна від забудови.</w:t>
            </w:r>
          </w:p>
        </w:tc>
      </w:tr>
      <w:tr w:rsidR="00500CE2" w14:paraId="700EC9F1" w14:textId="77777777" w:rsidTr="0062023F">
        <w:trPr>
          <w:cantSplit/>
          <w:trHeight w:val="3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1FA" w14:textId="77777777" w:rsidR="00500CE2" w:rsidRDefault="00500CE2" w:rsidP="00500CE2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 w:bidi="uk-UA"/>
              </w:rPr>
            </w:pPr>
            <w:r>
              <w:rPr>
                <w:i w:val="0"/>
                <w:sz w:val="24"/>
                <w:szCs w:val="24"/>
                <w:lang w:val="uk-UA" w:bidi="uk-UA"/>
              </w:rPr>
              <w:t xml:space="preserve"> Наявність ДПТ: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FAF7" w14:textId="4231D0F5" w:rsidR="00500CE2" w:rsidRPr="00500CE2" w:rsidRDefault="00500CE2" w:rsidP="00500C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00CE2">
              <w:rPr>
                <w:rFonts w:ascii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500CE2" w14:paraId="22FDAF0C" w14:textId="77777777" w:rsidTr="00500CE2">
        <w:trPr>
          <w:cantSplit/>
          <w:trHeight w:val="15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1831" w14:textId="77777777" w:rsidR="00500CE2" w:rsidRPr="00500CE2" w:rsidRDefault="00500CE2" w:rsidP="00500CE2">
            <w:pPr>
              <w:pStyle w:val="a7"/>
              <w:spacing w:line="276" w:lineRule="auto"/>
              <w:ind w:left="-120"/>
              <w:rPr>
                <w:b w:val="0"/>
                <w:bCs w:val="0"/>
                <w:sz w:val="24"/>
                <w:szCs w:val="24"/>
                <w:lang w:val="ru-RU" w:bidi="uk-UA"/>
              </w:rPr>
            </w:pPr>
            <w:r>
              <w:rPr>
                <w:b w:val="0"/>
                <w:i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00CE2">
              <w:rPr>
                <w:b w:val="0"/>
                <w:sz w:val="24"/>
                <w:szCs w:val="24"/>
                <w:lang w:bidi="uk-UA"/>
              </w:rPr>
              <w:t>Функціональне</w:t>
            </w:r>
            <w:proofErr w:type="spellEnd"/>
            <w:r w:rsidRPr="00500CE2">
              <w:rPr>
                <w:b w:val="0"/>
                <w:sz w:val="24"/>
                <w:szCs w:val="24"/>
                <w:lang w:bidi="uk-UA"/>
              </w:rPr>
              <w:t xml:space="preserve"> </w:t>
            </w:r>
            <w:r w:rsidRPr="00500CE2">
              <w:rPr>
                <w:b w:val="0"/>
                <w:sz w:val="24"/>
                <w:szCs w:val="24"/>
                <w:lang w:val="ru-RU" w:bidi="uk-UA"/>
              </w:rPr>
              <w:t xml:space="preserve"> </w:t>
            </w:r>
          </w:p>
          <w:p w14:paraId="21BACA2C" w14:textId="77777777" w:rsidR="00500CE2" w:rsidRPr="00500CE2" w:rsidRDefault="00500CE2" w:rsidP="00500CE2">
            <w:pPr>
              <w:pStyle w:val="a7"/>
              <w:spacing w:line="276" w:lineRule="auto"/>
              <w:ind w:left="-120"/>
              <w:rPr>
                <w:b w:val="0"/>
                <w:sz w:val="24"/>
                <w:szCs w:val="24"/>
                <w:lang w:bidi="uk-UA"/>
              </w:rPr>
            </w:pPr>
            <w:r w:rsidRPr="00500CE2">
              <w:rPr>
                <w:b w:val="0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00CE2">
              <w:rPr>
                <w:b w:val="0"/>
                <w:sz w:val="24"/>
                <w:szCs w:val="24"/>
                <w:lang w:bidi="uk-UA"/>
              </w:rPr>
              <w:t>призначення</w:t>
            </w:r>
            <w:proofErr w:type="spellEnd"/>
            <w:r w:rsidRPr="00500CE2">
              <w:rPr>
                <w:b w:val="0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500CE2">
              <w:rPr>
                <w:b w:val="0"/>
                <w:sz w:val="24"/>
                <w:szCs w:val="24"/>
                <w:lang w:bidi="uk-UA"/>
              </w:rPr>
              <w:t>згідно</w:t>
            </w:r>
            <w:proofErr w:type="spellEnd"/>
            <w:r w:rsidRPr="00500CE2">
              <w:rPr>
                <w:b w:val="0"/>
                <w:sz w:val="24"/>
                <w:szCs w:val="24"/>
                <w:lang w:bidi="uk-UA"/>
              </w:rPr>
              <w:t xml:space="preserve"> з </w:t>
            </w:r>
          </w:p>
          <w:p w14:paraId="15EAC092" w14:textId="77777777" w:rsidR="00500CE2" w:rsidRPr="00500CE2" w:rsidRDefault="00500CE2" w:rsidP="00500CE2">
            <w:pPr>
              <w:ind w:left="-113"/>
              <w:rPr>
                <w:rFonts w:ascii="Times New Roman" w:hAnsi="Times New Roman" w:cs="Times New Roman"/>
              </w:rPr>
            </w:pPr>
            <w:r w:rsidRPr="00500CE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CE2">
              <w:rPr>
                <w:rFonts w:ascii="Times New Roman" w:hAnsi="Times New Roman" w:cs="Times New Roman"/>
              </w:rPr>
              <w:t>містобудівною</w:t>
            </w:r>
          </w:p>
          <w:p w14:paraId="69EA6F90" w14:textId="77777777" w:rsidR="00500CE2" w:rsidRDefault="00500CE2" w:rsidP="00500CE2">
            <w:pPr>
              <w:ind w:left="-113"/>
              <w:rPr>
                <w:rFonts w:ascii="Times New Roman" w:hAnsi="Times New Roman" w:cs="Times New Roman"/>
              </w:rPr>
            </w:pPr>
            <w:r w:rsidRPr="00500CE2">
              <w:rPr>
                <w:rFonts w:ascii="Times New Roman" w:hAnsi="Times New Roman" w:cs="Times New Roman"/>
              </w:rPr>
              <w:t xml:space="preserve"> документацією: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CEF0" w14:textId="31E39DB1" w:rsidR="00500CE2" w:rsidRPr="00500CE2" w:rsidRDefault="00500CE2" w:rsidP="00624DD8">
            <w:pPr>
              <w:pStyle w:val="1"/>
              <w:shd w:val="clear" w:color="auto" w:fill="auto"/>
              <w:jc w:val="both"/>
              <w:rPr>
                <w:i w:val="0"/>
              </w:rPr>
            </w:pPr>
            <w:r w:rsidRPr="00500CE2">
              <w:rPr>
                <w:sz w:val="24"/>
                <w:szCs w:val="24"/>
                <w:lang w:val="uk-UA"/>
              </w:rPr>
              <w:t xml:space="preserve">Відповідно до </w:t>
            </w:r>
            <w:r w:rsidRPr="00500CE2">
              <w:rPr>
                <w:snapToGrid w:val="0"/>
                <w:sz w:val="24"/>
                <w:szCs w:val="24"/>
                <w:lang w:val="uk-UA"/>
              </w:rPr>
              <w:t>Генерального плану міста Києва та проекту планування його приміської зони на період до 2020 року</w:t>
            </w:r>
            <w:r w:rsidRPr="00500CE2">
              <w:rPr>
                <w:sz w:val="24"/>
                <w:szCs w:val="24"/>
                <w:lang w:val="uk-UA"/>
              </w:rPr>
              <w:t>, затвердженого рішенням Київської міської ради                         від 28.03.2002 № 370/1804, земельна ділянка за функціональним призначенням належить до території комунально-складської (на розрахунковий період</w:t>
            </w:r>
            <w:r w:rsidRPr="0062023F">
              <w:rPr>
                <w:sz w:val="24"/>
                <w:szCs w:val="24"/>
                <w:lang w:val="uk-UA"/>
              </w:rPr>
              <w:t>)</w:t>
            </w:r>
            <w:r w:rsidR="0062023F" w:rsidRPr="0062023F">
              <w:rPr>
                <w:sz w:val="24"/>
                <w:szCs w:val="24"/>
              </w:rPr>
              <w:t xml:space="preserve"> (</w:t>
            </w:r>
            <w:r w:rsidR="0062023F" w:rsidRPr="0062023F">
              <w:rPr>
                <w:sz w:val="24"/>
                <w:szCs w:val="24"/>
                <w:lang w:val="uk-UA"/>
              </w:rPr>
              <w:t xml:space="preserve">витяг </w:t>
            </w:r>
            <w:r w:rsidR="0062023F">
              <w:rPr>
                <w:sz w:val="24"/>
                <w:szCs w:val="24"/>
                <w:lang w:val="uk-UA"/>
              </w:rPr>
              <w:t xml:space="preserve">               </w:t>
            </w:r>
            <w:r w:rsidR="0062023F" w:rsidRPr="0062023F">
              <w:rPr>
                <w:sz w:val="24"/>
                <w:szCs w:val="24"/>
              </w:rPr>
              <w:t xml:space="preserve"> з </w:t>
            </w:r>
            <w:proofErr w:type="spellStart"/>
            <w:r w:rsidR="0062023F" w:rsidRPr="0062023F">
              <w:rPr>
                <w:sz w:val="24"/>
                <w:szCs w:val="24"/>
              </w:rPr>
              <w:t>містобудівно</w:t>
            </w:r>
            <w:proofErr w:type="spellEnd"/>
            <w:r w:rsidR="0062023F" w:rsidRPr="0062023F">
              <w:rPr>
                <w:sz w:val="24"/>
                <w:szCs w:val="24"/>
                <w:lang w:val="uk-UA"/>
              </w:rPr>
              <w:t>ї</w:t>
            </w:r>
            <w:r w:rsidR="0062023F" w:rsidRPr="0062023F">
              <w:rPr>
                <w:sz w:val="24"/>
                <w:szCs w:val="24"/>
              </w:rPr>
              <w:t xml:space="preserve"> </w:t>
            </w:r>
            <w:r w:rsidR="0062023F" w:rsidRPr="0062023F">
              <w:rPr>
                <w:sz w:val="24"/>
                <w:szCs w:val="24"/>
                <w:lang w:val="uk-UA"/>
              </w:rPr>
              <w:t>документації, наданий листом</w:t>
            </w:r>
            <w:r w:rsidR="0062023F" w:rsidRPr="0062023F">
              <w:rPr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Департаменту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містобудування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архітектури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виконавчого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органу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Київської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Київської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державної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адміністрації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62023F" w:rsidRPr="0062023F">
              <w:rPr>
                <w:color w:val="000000" w:themeColor="text1"/>
                <w:sz w:val="24"/>
                <w:szCs w:val="24"/>
              </w:rPr>
              <w:t>від</w:t>
            </w:r>
            <w:proofErr w:type="spellEnd"/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023F" w:rsidRPr="0062023F">
              <w:rPr>
                <w:color w:val="000000" w:themeColor="text1"/>
                <w:sz w:val="24"/>
                <w:szCs w:val="24"/>
                <w:lang w:val="uk-UA"/>
              </w:rPr>
              <w:t>06</w:t>
            </w:r>
            <w:r w:rsidR="0062023F" w:rsidRPr="0062023F">
              <w:rPr>
                <w:color w:val="000000" w:themeColor="text1"/>
                <w:sz w:val="24"/>
                <w:szCs w:val="24"/>
              </w:rPr>
              <w:t>.11.2024</w:t>
            </w:r>
            <w:r w:rsidR="0062023F">
              <w:rPr>
                <w:color w:val="000000" w:themeColor="text1"/>
                <w:sz w:val="24"/>
                <w:szCs w:val="24"/>
                <w:lang w:val="uk-UA"/>
              </w:rPr>
              <w:t xml:space="preserve">                                 </w:t>
            </w:r>
            <w:r w:rsidR="0062023F" w:rsidRPr="0062023F">
              <w:rPr>
                <w:color w:val="000000" w:themeColor="text1"/>
                <w:sz w:val="24"/>
                <w:szCs w:val="24"/>
              </w:rPr>
              <w:t xml:space="preserve"> № </w:t>
            </w:r>
            <w:r w:rsidR="0062023F" w:rsidRPr="0062023F">
              <w:rPr>
                <w:color w:val="000000" w:themeColor="text1"/>
                <w:sz w:val="24"/>
                <w:szCs w:val="24"/>
                <w:lang w:val="uk-UA"/>
              </w:rPr>
              <w:t>055-11722</w:t>
            </w:r>
            <w:r w:rsidR="0062023F" w:rsidRPr="0062023F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500CE2" w14:paraId="0F497C70" w14:textId="77777777" w:rsidTr="0062023F">
        <w:trPr>
          <w:cantSplit/>
          <w:trHeight w:val="56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1B60" w14:textId="77777777" w:rsidR="00500CE2" w:rsidRDefault="00500CE2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1EAB" w14:textId="77777777" w:rsidR="00500CE2" w:rsidRDefault="00500CE2" w:rsidP="001D394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00CE2" w14:paraId="68E3C258" w14:textId="77777777" w:rsidTr="00500CE2">
        <w:trPr>
          <w:cantSplit/>
          <w:trHeight w:val="44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80F9" w14:textId="77777777" w:rsidR="00500CE2" w:rsidRDefault="00500CE2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9159" w14:textId="77777777" w:rsidR="00500CE2" w:rsidRDefault="00500CE2">
            <w:pPr>
              <w:pStyle w:val="ad"/>
              <w:spacing w:line="276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624DD8" w14:paraId="10CAF59A" w14:textId="77777777" w:rsidTr="00500CE2">
        <w:trPr>
          <w:cantSplit/>
          <w:trHeight w:val="44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3A8" w14:textId="77777777" w:rsidR="00624DD8" w:rsidRDefault="00624DD8" w:rsidP="00624DD8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особливості:</w:t>
            </w:r>
          </w:p>
          <w:p w14:paraId="2BE79C27" w14:textId="77777777" w:rsidR="00624DD8" w:rsidRDefault="00624DD8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AA6" w14:textId="77777777" w:rsidR="00624DD8" w:rsidRDefault="00624DD8" w:rsidP="00F157E6">
            <w:pPr>
              <w:pStyle w:val="af2"/>
              <w:spacing w:before="0" w:beforeAutospacing="0" w:after="0" w:afterAutospacing="0"/>
              <w:jc w:val="both"/>
              <w:rPr>
                <w:i/>
                <w:color w:val="000000" w:themeColor="text1"/>
                <w:lang w:val="uk-UA"/>
              </w:rPr>
            </w:pPr>
            <w:r>
              <w:rPr>
                <w:i/>
                <w:lang w:val="uk-UA"/>
              </w:rPr>
              <w:t>Рішенням Київської міської ради від 31.03.2016 № 258/258,                          передано</w:t>
            </w:r>
            <w:r>
              <w:rPr>
                <w:i/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i/>
                <w:color w:val="000000" w:themeColor="text1"/>
                <w:shd w:val="clear" w:color="auto" w:fill="FFFFFF"/>
                <w:lang w:val="uk-UA"/>
              </w:rPr>
              <w:t xml:space="preserve">Публічному акціонерному товариству «КИЇВЕНЕРГО» </w:t>
            </w:r>
            <w:r>
              <w:rPr>
                <w:i/>
                <w:color w:val="333333"/>
                <w:shd w:val="clear" w:color="auto" w:fill="FFFFFF"/>
                <w:lang w:val="uk-UA"/>
              </w:rPr>
              <w:t>в</w:t>
            </w:r>
            <w:r>
              <w:rPr>
                <w:i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 xml:space="preserve">оренду на 5 років </w:t>
            </w:r>
            <w:r>
              <w:rPr>
                <w:i/>
                <w:lang w:val="uk-UA"/>
              </w:rPr>
              <w:t xml:space="preserve">земельну ділянку площею </w:t>
            </w:r>
            <w:r>
              <w:rPr>
                <w:i/>
                <w:iCs/>
                <w:lang w:val="uk-UA"/>
              </w:rPr>
              <w:t>0,2339</w:t>
            </w:r>
            <w:r>
              <w:rPr>
                <w:i/>
                <w:lang w:val="uk-UA"/>
              </w:rPr>
              <w:t xml:space="preserve"> га</w:t>
            </w:r>
            <w:r>
              <w:rPr>
                <w:i/>
                <w:color w:val="FF0000"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(кадастровий номер </w:t>
            </w:r>
            <w:r>
              <w:rPr>
                <w:i/>
                <w:iCs/>
                <w:lang w:val="uk-UA"/>
              </w:rPr>
              <w:t>8000000000:90:291:0069</w:t>
            </w:r>
            <w:r>
              <w:rPr>
                <w:i/>
                <w:lang w:val="uk-UA"/>
              </w:rPr>
              <w:t xml:space="preserve">) </w:t>
            </w:r>
            <w:r>
              <w:rPr>
                <w:i/>
                <w:iCs/>
                <w:lang w:val="uk-UA"/>
              </w:rPr>
              <w:t>для будівництва, експлуатації та обслуговування насосної станції</w:t>
            </w:r>
            <w:r>
              <w:rPr>
                <w:i/>
                <w:lang w:val="uk-UA"/>
              </w:rPr>
              <w:t xml:space="preserve"> (договір оренди земельної ділянки від </w:t>
            </w:r>
            <w:r>
              <w:rPr>
                <w:i/>
                <w:color w:val="000000" w:themeColor="text1"/>
                <w:lang w:val="uk-UA"/>
              </w:rPr>
              <w:t xml:space="preserve">13.11.2016 № 262). </w:t>
            </w:r>
          </w:p>
          <w:p w14:paraId="0C90263A" w14:textId="77777777" w:rsidR="00624DD8" w:rsidRDefault="00624DD8" w:rsidP="00F157E6">
            <w:pPr>
              <w:pStyle w:val="af2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>
              <w:rPr>
                <w:i/>
                <w:color w:val="000000" w:themeColor="text1"/>
                <w:lang w:val="uk-UA"/>
              </w:rPr>
              <w:t>Строк оренди земельної ділянки за договором закінчився 30.11.2021</w:t>
            </w:r>
            <w:r>
              <w:rPr>
                <w:i/>
                <w:lang w:val="uk-UA"/>
              </w:rPr>
              <w:t xml:space="preserve">. </w:t>
            </w:r>
          </w:p>
          <w:p w14:paraId="11174355" w14:textId="146FEA8D" w:rsidR="00624DD8" w:rsidRDefault="00624DD8" w:rsidP="00F157E6">
            <w:pPr>
              <w:pStyle w:val="af2"/>
              <w:spacing w:before="0" w:beforeAutospacing="0" w:after="0" w:afterAutospacing="0"/>
              <w:jc w:val="both"/>
              <w:rPr>
                <w:i/>
                <w:lang w:val="uk-UA" w:eastAsia="uk-UA" w:bidi="uk-UA"/>
              </w:rPr>
            </w:pPr>
            <w:r>
              <w:rPr>
                <w:i/>
                <w:lang w:val="uk-UA" w:eastAsia="uk-UA" w:bidi="uk-UA"/>
              </w:rPr>
              <w:t xml:space="preserve">Відповідно до ухвали Господарського суду Донецької області від 05.04.2023 у справі № 905/1965/19 акціонерне товариство </w:t>
            </w:r>
            <w:r w:rsidR="001D394E">
              <w:rPr>
                <w:i/>
                <w:lang w:val="uk-UA" w:eastAsia="uk-UA" w:bidi="uk-UA"/>
              </w:rPr>
              <w:t>«</w:t>
            </w:r>
            <w:proofErr w:type="spellStart"/>
            <w:r>
              <w:rPr>
                <w:i/>
                <w:lang w:val="uk-UA" w:eastAsia="uk-UA" w:bidi="uk-UA"/>
              </w:rPr>
              <w:t>К.Енерго</w:t>
            </w:r>
            <w:proofErr w:type="spellEnd"/>
            <w:r>
              <w:rPr>
                <w:i/>
                <w:lang w:val="uk-UA" w:eastAsia="uk-UA" w:bidi="uk-UA"/>
              </w:rPr>
              <w:t>» (</w:t>
            </w:r>
            <w:r>
              <w:rPr>
                <w:i/>
                <w:color w:val="000000" w:themeColor="text1"/>
                <w:shd w:val="clear" w:color="auto" w:fill="FFFFFF"/>
                <w:lang w:val="uk-UA" w:eastAsia="uk-UA" w:bidi="uk-UA"/>
              </w:rPr>
              <w:t xml:space="preserve">публічне акціонерне товариство «КИЇВЕНЕРГО») код ЄДРПОУ 00131305 </w:t>
            </w:r>
            <w:r>
              <w:rPr>
                <w:i/>
                <w:lang w:val="uk-UA" w:eastAsia="uk-UA" w:bidi="uk-UA"/>
              </w:rPr>
              <w:t>ліквідовано.</w:t>
            </w:r>
          </w:p>
          <w:p w14:paraId="60EB5A99" w14:textId="77777777" w:rsidR="00F157E6" w:rsidRPr="00C0175B" w:rsidRDefault="00F157E6" w:rsidP="00F157E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0175B">
              <w:rPr>
                <w:rFonts w:ascii="Times New Roman" w:hAnsi="Times New Roman" w:cs="Times New Roman"/>
                <w:i/>
                <w:color w:val="auto"/>
              </w:rPr>
              <w:t>Відповідно до статті 134 Земельного кодексу України не підлягають продажу, передачі в користування на конкурентних засадах (на земельних торгах) земельні ділянки державної чи комунальної власності у разі, зокрема: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0175B">
              <w:rPr>
                <w:rFonts w:ascii="Times New Roman" w:hAnsi="Times New Roman" w:cs="Times New Roman"/>
                <w:i/>
                <w:color w:val="auto"/>
              </w:rPr>
              <w:t>будівництва, обслуговування об’єктів інженерної, транспортної, енергетичної інфраструктури, мультимодальних терміналів, об’єктів зв’язку та дорожнього господарства (крім об’єктів дорожнього сервісу).</w:t>
            </w:r>
          </w:p>
          <w:p w14:paraId="6F5E540A" w14:textId="69579B1D" w:rsidR="00624DD8" w:rsidRDefault="00624DD8" w:rsidP="00F157E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0CE2">
              <w:rPr>
                <w:rFonts w:ascii="Times New Roman" w:hAnsi="Times New Roman" w:cs="Times New Roman"/>
                <w:i/>
                <w:color w:val="auto"/>
              </w:rPr>
              <w:t xml:space="preserve">Відповідно до Закону України «Про землі енергетики та правовий режим спеціальних зон енергетичних об’єктів» 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комплекс об’єктів енергетичної інфраструктури, включаючи наземні, надземні та підземні об’єкти, пов’язані повітряними та кабельними лініями та призначені для передачі та розподілу електричної енергії, а також будівлі та споруди, площею до 200 квадратних метрів, у тому числі електричні підстанції, трансформаторні підстанції, розподільчі пункти 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                    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пристрої, 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споруди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опорних 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конструкцій,</w:t>
            </w:r>
            <w:r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</w:t>
            </w:r>
            <w:r w:rsidRPr="00500CE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допоміжне </w:t>
            </w:r>
          </w:p>
        </w:tc>
      </w:tr>
      <w:tr w:rsidR="00703A5A" w14:paraId="06EB6586" w14:textId="77777777" w:rsidTr="004B35A6">
        <w:trPr>
          <w:cantSplit/>
          <w:trHeight w:val="83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3A0F5" w14:textId="1B17DA06" w:rsidR="00703A5A" w:rsidRDefault="00703A5A" w:rsidP="004B35A6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F5CF4D" w14:textId="77777777" w:rsidR="00624DD8" w:rsidRPr="00624DD8" w:rsidRDefault="00624DD8" w:rsidP="00624DD8">
            <w:pPr>
              <w:pStyle w:val="1"/>
              <w:shd w:val="clear" w:color="auto" w:fill="auto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624DD8">
              <w:rPr>
                <w:sz w:val="24"/>
                <w:szCs w:val="24"/>
                <w:shd w:val="clear" w:color="auto" w:fill="FFFFFF"/>
                <w:lang w:val="uk-UA"/>
              </w:rPr>
              <w:t>обладнання, зв’язані з ними єдиним технологічним процесом, які забезпечують безпечну та надійну експлуатацію, виробництво, передачу і розподіл електричної та теплової енергії є лінійним об’єктом енергетичної інфраструктури.</w:t>
            </w:r>
          </w:p>
          <w:p w14:paraId="5D3C0ED3" w14:textId="75475E33" w:rsidR="00624DD8" w:rsidRPr="00500CE2" w:rsidRDefault="00624DD8" w:rsidP="00624DD8">
            <w:pPr>
              <w:pStyle w:val="1"/>
              <w:shd w:val="clear" w:color="auto" w:fill="auto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624DD8">
              <w:rPr>
                <w:sz w:val="24"/>
                <w:szCs w:val="24"/>
                <w:lang w:val="uk-UA"/>
              </w:rPr>
              <w:t xml:space="preserve">Відповідно до частини третьої статті 24 Закону України «Про регулювання містобудівної діяльності» </w:t>
            </w:r>
            <w:r w:rsidRPr="00624DD8">
              <w:rPr>
                <w:sz w:val="24"/>
                <w:szCs w:val="24"/>
                <w:shd w:val="clear" w:color="auto" w:fill="FFFFFF"/>
                <w:lang w:val="uk-UA"/>
              </w:rPr>
              <w:t>обмеження щодо передачі</w:t>
            </w:r>
            <w:r w:rsidRPr="00500CE2">
              <w:rPr>
                <w:sz w:val="24"/>
                <w:szCs w:val="24"/>
                <w:shd w:val="clear" w:color="auto" w:fill="FFFFFF"/>
                <w:lang w:val="uk-UA"/>
              </w:rPr>
              <w:t xml:space="preserve"> (надання) земельних ділянок із земель державної або комунальної власності у власність чи користування фізичним або юридичним особам, не поширюються на випадки надання земельної ділянки для розміщення, в тому числі, лінійних об’єктів енергетичної інфраструктури.</w:t>
            </w:r>
          </w:p>
          <w:p w14:paraId="56EC969C" w14:textId="6411A81D" w:rsidR="00624DD8" w:rsidRDefault="00624DD8" w:rsidP="00624DD8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КП</w:t>
            </w:r>
            <w:r w:rsidRPr="00500CE2">
              <w:rPr>
                <w:rFonts w:ascii="Times New Roman" w:hAnsi="Times New Roman" w:cs="Times New Roman"/>
                <w:i/>
                <w:iCs/>
              </w:rPr>
              <w:t xml:space="preserve"> «КИЇВТЕПЛОЕНЕРГО» листом від 10.10.2023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</w:t>
            </w:r>
            <w:r w:rsidRPr="00500CE2">
              <w:rPr>
                <w:rFonts w:ascii="Times New Roman" w:hAnsi="Times New Roman" w:cs="Times New Roman"/>
                <w:i/>
                <w:iCs/>
              </w:rPr>
              <w:t>№ 28АУ/06/1у/3/5115 повідомило, що перспективна насосна станція та магістральні трубопроводи належать до лінійних об’єктів енергетичної інфраструктури.</w:t>
            </w:r>
          </w:p>
          <w:p w14:paraId="2A339F37" w14:textId="09993E02" w:rsidR="00703A5A" w:rsidRDefault="00703A5A" w:rsidP="00703A5A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</w:t>
            </w:r>
            <w:r>
              <w:rPr>
                <w:rFonts w:ascii="Times New Roman" w:hAnsi="Times New Roman" w:cs="Times New Roman"/>
                <w:i/>
              </w:rPr>
              <w:t>на пленарних засіданнях сільської, селищної, міської ради.</w:t>
            </w:r>
          </w:p>
          <w:p w14:paraId="196FC65E" w14:textId="77777777" w:rsidR="00703A5A" w:rsidRDefault="00703A5A" w:rsidP="00703A5A">
            <w:pPr>
              <w:pStyle w:val="ad"/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             від 17.04.2018 у справі № 826/8107/16, від 16.09.2021 у справі № 826/8847/16. </w:t>
            </w:r>
          </w:p>
          <w:p w14:paraId="25F6C4DF" w14:textId="7019BF44" w:rsidR="00703A5A" w:rsidRDefault="00703A5A" w:rsidP="00703A5A">
            <w:pPr>
              <w:spacing w:line="252" w:lineRule="auto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15E2D8F" w14:textId="77777777" w:rsidR="00500CE2" w:rsidRDefault="00500CE2" w:rsidP="00500CE2">
      <w:pPr>
        <w:pStyle w:val="a7"/>
        <w:shd w:val="clear" w:color="auto" w:fill="auto"/>
        <w:rPr>
          <w:lang w:val="uk-UA"/>
        </w:rPr>
      </w:pPr>
    </w:p>
    <w:p w14:paraId="35068105" w14:textId="77777777" w:rsidR="00500CE2" w:rsidRDefault="00500CE2" w:rsidP="00500CE2">
      <w:pPr>
        <w:pStyle w:val="1"/>
        <w:numPr>
          <w:ilvl w:val="0"/>
          <w:numId w:val="4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55906DE3" w14:textId="77777777" w:rsidR="00500CE2" w:rsidRDefault="00500CE2" w:rsidP="00500CE2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20D48BD6" w14:textId="77777777" w:rsidR="00500CE2" w:rsidRDefault="00500CE2" w:rsidP="00500CE2">
      <w:pPr>
        <w:pStyle w:val="1"/>
        <w:shd w:val="clear" w:color="auto" w:fill="auto"/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5055993" w14:textId="77777777" w:rsidR="00500CE2" w:rsidRDefault="00500CE2" w:rsidP="00500CE2">
      <w:pPr>
        <w:pStyle w:val="1"/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>
        <w:rPr>
          <w:i w:val="0"/>
          <w:sz w:val="24"/>
          <w:szCs w:val="24"/>
          <w:shd w:val="clear" w:color="auto" w:fill="FFFFFF"/>
          <w:lang w:val="uk-UA"/>
        </w:rPr>
        <w:t>Проєкт</w:t>
      </w:r>
      <w:proofErr w:type="spellEnd"/>
      <w:r>
        <w:rPr>
          <w:i w:val="0"/>
          <w:sz w:val="24"/>
          <w:szCs w:val="24"/>
          <w:shd w:val="clear" w:color="auto" w:fill="FFFFFF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094A2529" w14:textId="77777777" w:rsidR="00500CE2" w:rsidRDefault="00500CE2" w:rsidP="00500CE2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не містить інформації</w:t>
      </w:r>
      <w:r>
        <w:rPr>
          <w:i w:val="0"/>
          <w:sz w:val="24"/>
          <w:szCs w:val="24"/>
          <w:shd w:val="clear" w:color="auto" w:fill="FFFFFF"/>
          <w:lang w:val="uk-UA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>
        <w:rPr>
          <w:i w:val="0"/>
          <w:sz w:val="24"/>
          <w:szCs w:val="24"/>
          <w:lang w:val="uk-UA"/>
        </w:rPr>
        <w:t>.</w:t>
      </w:r>
    </w:p>
    <w:p w14:paraId="7C8057AE" w14:textId="77777777" w:rsidR="00500CE2" w:rsidRDefault="00500CE2" w:rsidP="00500CE2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62B09A7B" w14:textId="77777777" w:rsidR="00500CE2" w:rsidRDefault="00500CE2" w:rsidP="00500CE2">
      <w:pPr>
        <w:pStyle w:val="1"/>
        <w:numPr>
          <w:ilvl w:val="0"/>
          <w:numId w:val="4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2C234CA8" w14:textId="77777777" w:rsidR="00500CE2" w:rsidRDefault="00500CE2" w:rsidP="00500CE2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494D4B46" w14:textId="29E0B05D" w:rsidR="00046E11" w:rsidRDefault="00500CE2" w:rsidP="00500CE2">
      <w:pPr>
        <w:pStyle w:val="1"/>
        <w:shd w:val="clear" w:color="auto" w:fill="auto"/>
        <w:ind w:firstLine="425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Відповідно до Податкового кодексу України та Положення про плату за землю в</w:t>
      </w:r>
      <w:r w:rsidR="00046E11">
        <w:rPr>
          <w:i w:val="0"/>
          <w:sz w:val="24"/>
          <w:szCs w:val="24"/>
          <w:lang w:val="uk-UA"/>
        </w:rPr>
        <w:t xml:space="preserve">                        </w:t>
      </w:r>
      <w:r>
        <w:rPr>
          <w:i w:val="0"/>
          <w:sz w:val="24"/>
          <w:szCs w:val="24"/>
          <w:lang w:val="uk-UA"/>
        </w:rPr>
        <w:t xml:space="preserve"> місті Києві, затвердженого рішенням Київської міської ради </w:t>
      </w:r>
      <w:r w:rsidR="00046E11">
        <w:rPr>
          <w:i w:val="0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i w:val="0"/>
          <w:sz w:val="24"/>
          <w:szCs w:val="24"/>
          <w:lang w:val="uk-UA"/>
        </w:rPr>
        <w:t xml:space="preserve">від 23.06.2011 № 242/5629 </w:t>
      </w:r>
      <w:r w:rsidR="00046E11">
        <w:rPr>
          <w:i w:val="0"/>
          <w:sz w:val="24"/>
          <w:szCs w:val="24"/>
          <w:lang w:val="uk-UA"/>
        </w:rPr>
        <w:t xml:space="preserve"> </w:t>
      </w:r>
      <w:r>
        <w:rPr>
          <w:i w:val="0"/>
          <w:sz w:val="24"/>
          <w:szCs w:val="24"/>
          <w:lang w:val="uk-UA"/>
        </w:rPr>
        <w:t>«Про</w:t>
      </w:r>
    </w:p>
    <w:p w14:paraId="2B885E83" w14:textId="77777777" w:rsidR="00046E11" w:rsidRDefault="00046E11" w:rsidP="00500CE2">
      <w:pPr>
        <w:pStyle w:val="1"/>
        <w:shd w:val="clear" w:color="auto" w:fill="auto"/>
        <w:ind w:firstLine="425"/>
        <w:jc w:val="both"/>
        <w:rPr>
          <w:i w:val="0"/>
          <w:sz w:val="24"/>
          <w:szCs w:val="24"/>
          <w:lang w:val="uk-UA"/>
        </w:rPr>
      </w:pPr>
    </w:p>
    <w:p w14:paraId="2D3E286B" w14:textId="77777777" w:rsidR="00046E11" w:rsidRDefault="00046E11" w:rsidP="00500CE2">
      <w:pPr>
        <w:pStyle w:val="1"/>
        <w:shd w:val="clear" w:color="auto" w:fill="auto"/>
        <w:ind w:firstLine="425"/>
        <w:jc w:val="both"/>
        <w:rPr>
          <w:i w:val="0"/>
          <w:sz w:val="24"/>
          <w:szCs w:val="24"/>
          <w:lang w:val="uk-UA"/>
        </w:rPr>
      </w:pPr>
    </w:p>
    <w:p w14:paraId="6140990E" w14:textId="70DB6EFF" w:rsidR="00500CE2" w:rsidRDefault="00500CE2" w:rsidP="00046E11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 xml:space="preserve"> встановлення місцевих податків і зборів у м. Києві» (зі змінами та доповненнями), розрахунковий розмір земельного податку складатиме: </w:t>
      </w:r>
    </w:p>
    <w:p w14:paraId="063C87A1" w14:textId="61306E74" w:rsidR="00500CE2" w:rsidRDefault="00500CE2" w:rsidP="00500CE2">
      <w:pPr>
        <w:pStyle w:val="a4"/>
        <w:ind w:left="567"/>
        <w:rPr>
          <w:rStyle w:val="ac"/>
          <w:iCs w:val="0"/>
          <w:color w:val="000000" w:themeColor="text1"/>
        </w:rPr>
      </w:pPr>
      <w:r>
        <w:rPr>
          <w:rStyle w:val="ac"/>
          <w:i w:val="0"/>
          <w:color w:val="000000" w:themeColor="text1"/>
          <w:sz w:val="24"/>
          <w:szCs w:val="24"/>
          <w:lang w:val="uk-UA"/>
        </w:rPr>
        <w:t xml:space="preserve">існуючий - </w:t>
      </w:r>
      <w:r>
        <w:rPr>
          <w:bCs/>
          <w:i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="00F6419E">
        <w:rPr>
          <w:sz w:val="24"/>
          <w:szCs w:val="24"/>
          <w:lang w:val="uk-UA"/>
        </w:rPr>
        <w:t>16</w:t>
      </w:r>
      <w:r>
        <w:rPr>
          <w:sz w:val="24"/>
          <w:szCs w:val="24"/>
        </w:rPr>
        <w:t> </w:t>
      </w:r>
      <w:r w:rsidR="00F6419E">
        <w:rPr>
          <w:sz w:val="24"/>
          <w:szCs w:val="24"/>
          <w:lang w:val="uk-UA"/>
        </w:rPr>
        <w:t>721</w:t>
      </w:r>
      <w:r>
        <w:rPr>
          <w:sz w:val="24"/>
          <w:szCs w:val="24"/>
          <w:lang w:val="uk-UA"/>
        </w:rPr>
        <w:t xml:space="preserve"> </w:t>
      </w:r>
      <w:r>
        <w:rPr>
          <w:rStyle w:val="ac"/>
          <w:i w:val="0"/>
          <w:color w:val="000000" w:themeColor="text1"/>
          <w:sz w:val="24"/>
          <w:szCs w:val="24"/>
          <w:lang w:val="uk-UA"/>
        </w:rPr>
        <w:t xml:space="preserve">грн </w:t>
      </w:r>
      <w:r w:rsidR="00F6419E">
        <w:rPr>
          <w:rStyle w:val="ac"/>
          <w:i w:val="0"/>
          <w:color w:val="000000" w:themeColor="text1"/>
          <w:sz w:val="24"/>
          <w:szCs w:val="24"/>
          <w:lang w:val="uk-UA"/>
        </w:rPr>
        <w:t>78</w:t>
      </w:r>
      <w:r>
        <w:rPr>
          <w:rStyle w:val="ac"/>
          <w:i w:val="0"/>
          <w:color w:val="000000" w:themeColor="text1"/>
          <w:sz w:val="24"/>
          <w:szCs w:val="24"/>
          <w:lang w:val="uk-UA"/>
        </w:rPr>
        <w:t xml:space="preserve"> коп. (1%);</w:t>
      </w:r>
    </w:p>
    <w:p w14:paraId="5B2BE149" w14:textId="1B66B80D" w:rsidR="00500CE2" w:rsidRDefault="00500CE2" w:rsidP="00500CE2">
      <w:pPr>
        <w:pStyle w:val="a4"/>
        <w:ind w:left="567"/>
        <w:rPr>
          <w:rStyle w:val="ac"/>
          <w:i w:val="0"/>
          <w:iCs w:val="0"/>
          <w:color w:val="000000" w:themeColor="text1"/>
          <w:sz w:val="24"/>
          <w:szCs w:val="24"/>
          <w:lang w:val="uk-UA"/>
        </w:rPr>
      </w:pPr>
      <w:proofErr w:type="spellStart"/>
      <w:r>
        <w:rPr>
          <w:rStyle w:val="ac"/>
          <w:i w:val="0"/>
          <w:color w:val="000000" w:themeColor="text1"/>
          <w:sz w:val="24"/>
          <w:szCs w:val="24"/>
          <w:lang w:val="uk-UA"/>
        </w:rPr>
        <w:t>проєктний</w:t>
      </w:r>
      <w:proofErr w:type="spellEnd"/>
      <w:r>
        <w:rPr>
          <w:rStyle w:val="ac"/>
          <w:i w:val="0"/>
          <w:color w:val="000000" w:themeColor="text1"/>
          <w:sz w:val="24"/>
          <w:szCs w:val="24"/>
          <w:lang w:val="uk-UA"/>
        </w:rPr>
        <w:t xml:space="preserve"> - </w:t>
      </w:r>
      <w:r w:rsidR="00703A5A">
        <w:rPr>
          <w:sz w:val="24"/>
          <w:szCs w:val="24"/>
          <w:lang w:val="uk-UA"/>
        </w:rPr>
        <w:t>21</w:t>
      </w:r>
      <w:r>
        <w:rPr>
          <w:sz w:val="24"/>
          <w:szCs w:val="24"/>
        </w:rPr>
        <w:t> </w:t>
      </w:r>
      <w:r w:rsidR="00703A5A">
        <w:rPr>
          <w:sz w:val="24"/>
          <w:szCs w:val="24"/>
          <w:lang w:val="uk-UA"/>
        </w:rPr>
        <w:t>738</w:t>
      </w:r>
      <w:r>
        <w:rPr>
          <w:sz w:val="24"/>
          <w:szCs w:val="24"/>
          <w:lang w:val="uk-UA"/>
        </w:rPr>
        <w:t xml:space="preserve"> </w:t>
      </w:r>
      <w:r>
        <w:rPr>
          <w:rStyle w:val="ac"/>
          <w:i w:val="0"/>
          <w:color w:val="000000" w:themeColor="text1"/>
          <w:sz w:val="24"/>
          <w:szCs w:val="24"/>
          <w:lang w:val="uk-UA"/>
        </w:rPr>
        <w:t xml:space="preserve">грн </w:t>
      </w:r>
      <w:r w:rsidR="00703A5A">
        <w:rPr>
          <w:rStyle w:val="ac"/>
          <w:i w:val="0"/>
          <w:color w:val="000000" w:themeColor="text1"/>
          <w:sz w:val="24"/>
          <w:szCs w:val="24"/>
          <w:lang w:val="uk-UA"/>
        </w:rPr>
        <w:t>32</w:t>
      </w:r>
      <w:r>
        <w:rPr>
          <w:rStyle w:val="ac"/>
          <w:i w:val="0"/>
          <w:color w:val="000000" w:themeColor="text1"/>
          <w:sz w:val="24"/>
          <w:szCs w:val="24"/>
          <w:lang w:val="uk-UA"/>
        </w:rPr>
        <w:t xml:space="preserve"> коп. (1%).</w:t>
      </w:r>
    </w:p>
    <w:p w14:paraId="3D6E9765" w14:textId="77777777" w:rsidR="00500CE2" w:rsidRDefault="00500CE2" w:rsidP="00500CE2">
      <w:pPr>
        <w:pStyle w:val="1"/>
        <w:tabs>
          <w:tab w:val="left" w:pos="426"/>
        </w:tabs>
        <w:ind w:firstLine="426"/>
        <w:jc w:val="both"/>
        <w:rPr>
          <w:i w:val="0"/>
        </w:rPr>
      </w:pPr>
    </w:p>
    <w:p w14:paraId="56B2CA6B" w14:textId="77777777" w:rsidR="00500CE2" w:rsidRDefault="00500CE2" w:rsidP="00500CE2">
      <w:pPr>
        <w:pStyle w:val="1"/>
        <w:numPr>
          <w:ilvl w:val="0"/>
          <w:numId w:val="4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240C44B6" w14:textId="77777777" w:rsidR="00500CE2" w:rsidRDefault="00500CE2" w:rsidP="00500CE2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i w:val="0"/>
          <w:sz w:val="24"/>
          <w:szCs w:val="24"/>
          <w:lang w:val="uk-UA"/>
        </w:rPr>
        <w:t>проєкту</w:t>
      </w:r>
      <w:proofErr w:type="spellEnd"/>
      <w:r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05B4CBCB" w14:textId="77777777" w:rsidR="00500CE2" w:rsidRDefault="00500CE2" w:rsidP="00500CE2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03FADDC7" w14:textId="77777777" w:rsidR="00500CE2" w:rsidRDefault="00500CE2" w:rsidP="00500CE2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4A1AC328" w14:textId="77777777" w:rsidR="00500CE2" w:rsidRDefault="00500CE2" w:rsidP="00500CE2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p w14:paraId="7FBDA148" w14:textId="77777777" w:rsidR="00500CE2" w:rsidRDefault="00500CE2" w:rsidP="00500CE2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tbl>
      <w:tblPr>
        <w:tblStyle w:val="a8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5"/>
      </w:tblGrid>
      <w:tr w:rsidR="00500CE2" w:rsidRPr="00703A5A" w14:paraId="192BBA14" w14:textId="77777777" w:rsidTr="00703A5A">
        <w:trPr>
          <w:trHeight w:val="663"/>
        </w:trPr>
        <w:tc>
          <w:tcPr>
            <w:tcW w:w="4962" w:type="dxa"/>
            <w:hideMark/>
          </w:tcPr>
          <w:p w14:paraId="28E13980" w14:textId="77777777" w:rsidR="00500CE2" w:rsidRPr="00703A5A" w:rsidRDefault="00500CE2">
            <w:pPr>
              <w:pStyle w:val="30"/>
              <w:ind w:hanging="120"/>
              <w:jc w:val="both"/>
              <w:rPr>
                <w:rStyle w:val="ab"/>
                <w:rFonts w:eastAsia="Courier New"/>
                <w:sz w:val="24"/>
                <w:szCs w:val="24"/>
                <w:lang w:eastAsia="uk-UA" w:bidi="uk-UA"/>
              </w:rPr>
            </w:pPr>
            <w:proofErr w:type="spellStart"/>
            <w:r w:rsidRPr="00703A5A">
              <w:rPr>
                <w:rStyle w:val="ab"/>
                <w:rFonts w:eastAsia="Courier New"/>
                <w:sz w:val="24"/>
                <w:szCs w:val="24"/>
              </w:rPr>
              <w:t>Директор</w:t>
            </w:r>
            <w:proofErr w:type="spellEnd"/>
            <w:r w:rsidRPr="00703A5A">
              <w:rPr>
                <w:rStyle w:val="ab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03A5A">
              <w:rPr>
                <w:rStyle w:val="ab"/>
                <w:rFonts w:eastAsia="Courier New"/>
                <w:sz w:val="24"/>
                <w:szCs w:val="24"/>
              </w:rPr>
              <w:t>Департаменту</w:t>
            </w:r>
            <w:proofErr w:type="spellEnd"/>
            <w:r w:rsidRPr="00703A5A">
              <w:rPr>
                <w:rStyle w:val="ab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03A5A">
              <w:rPr>
                <w:rStyle w:val="ab"/>
                <w:rFonts w:eastAsia="Courier New"/>
                <w:sz w:val="24"/>
                <w:szCs w:val="24"/>
              </w:rPr>
              <w:t>земельних</w:t>
            </w:r>
            <w:proofErr w:type="spellEnd"/>
            <w:r w:rsidRPr="00703A5A">
              <w:rPr>
                <w:rStyle w:val="ab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03A5A">
              <w:rPr>
                <w:rStyle w:val="ab"/>
                <w:rFonts w:eastAsia="Courier New"/>
                <w:sz w:val="24"/>
                <w:szCs w:val="24"/>
              </w:rPr>
              <w:t>ресурсів</w:t>
            </w:r>
            <w:proofErr w:type="spellEnd"/>
          </w:p>
        </w:tc>
        <w:tc>
          <w:tcPr>
            <w:tcW w:w="4815" w:type="dxa"/>
            <w:hideMark/>
          </w:tcPr>
          <w:p w14:paraId="63679E2B" w14:textId="77777777" w:rsidR="00500CE2" w:rsidRPr="00703A5A" w:rsidRDefault="00500CE2">
            <w:pPr>
              <w:pStyle w:val="30"/>
              <w:shd w:val="clear" w:color="auto" w:fill="auto"/>
              <w:jc w:val="right"/>
              <w:rPr>
                <w:rStyle w:val="ab"/>
                <w:rFonts w:eastAsia="Courier New"/>
                <w:sz w:val="24"/>
                <w:szCs w:val="24"/>
              </w:rPr>
            </w:pPr>
            <w:proofErr w:type="spellStart"/>
            <w:r w:rsidRPr="00703A5A">
              <w:rPr>
                <w:rStyle w:val="ab"/>
                <w:rFonts w:eastAsia="Courier New"/>
                <w:sz w:val="24"/>
                <w:szCs w:val="24"/>
              </w:rPr>
              <w:t>Валентина</w:t>
            </w:r>
            <w:proofErr w:type="spellEnd"/>
            <w:r w:rsidRPr="00703A5A">
              <w:rPr>
                <w:rStyle w:val="ab"/>
                <w:rFonts w:eastAsia="Courier New"/>
                <w:sz w:val="24"/>
                <w:szCs w:val="24"/>
              </w:rPr>
              <w:t xml:space="preserve"> ПЕЛИХ</w:t>
            </w:r>
          </w:p>
        </w:tc>
      </w:tr>
    </w:tbl>
    <w:p w14:paraId="3D8E5EAB" w14:textId="77777777" w:rsidR="00500CE2" w:rsidRDefault="00500CE2" w:rsidP="00500CE2">
      <w:pPr>
        <w:pStyle w:val="1"/>
        <w:shd w:val="clear" w:color="auto" w:fill="auto"/>
        <w:spacing w:after="40" w:line="232" w:lineRule="auto"/>
        <w:ind w:firstLine="567"/>
        <w:jc w:val="both"/>
      </w:pPr>
    </w:p>
    <w:p w14:paraId="3D6093E1" w14:textId="77777777" w:rsidR="00FF1715" w:rsidRPr="00B30291" w:rsidRDefault="00FF1715" w:rsidP="00500CE2">
      <w:pPr>
        <w:pStyle w:val="1"/>
        <w:shd w:val="clear" w:color="auto" w:fill="auto"/>
        <w:spacing w:after="40" w:line="233" w:lineRule="auto"/>
        <w:ind w:firstLine="567"/>
        <w:jc w:val="both"/>
      </w:pPr>
    </w:p>
    <w:sectPr w:rsidR="00FF1715" w:rsidRPr="00B30291" w:rsidSect="00F157E6">
      <w:headerReference w:type="default" r:id="rId10"/>
      <w:footerReference w:type="default" r:id="rId11"/>
      <w:pgSz w:w="11907" w:h="16839" w:code="9"/>
      <w:pgMar w:top="993" w:right="567" w:bottom="568" w:left="1701" w:header="426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E2C7" w14:textId="77777777" w:rsidR="003F7E7E" w:rsidRDefault="003F7E7E">
      <w:r>
        <w:separator/>
      </w:r>
    </w:p>
  </w:endnote>
  <w:endnote w:type="continuationSeparator" w:id="0">
    <w:p w14:paraId="15663EE3" w14:textId="77777777" w:rsidR="003F7E7E" w:rsidRDefault="003F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1548E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1548E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1548EE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8AB5" w14:textId="77777777" w:rsidR="003F7E7E" w:rsidRDefault="003F7E7E">
      <w:r>
        <w:separator/>
      </w:r>
    </w:p>
  </w:footnote>
  <w:footnote w:type="continuationSeparator" w:id="0">
    <w:p w14:paraId="72EB1E81" w14:textId="77777777" w:rsidR="003F7E7E" w:rsidRDefault="003F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1020399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1E6E2265" w:rsidR="001548EE" w:rsidRPr="00800A09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800A09">
          <w:rPr>
            <w:i w:val="0"/>
            <w:sz w:val="12"/>
            <w:szCs w:val="12"/>
          </w:rPr>
          <w:t>Пояснювальна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</w:t>
        </w:r>
        <w:proofErr w:type="spellStart"/>
        <w:r w:rsidR="0012494D" w:rsidRPr="00800A09">
          <w:rPr>
            <w:i w:val="0"/>
            <w:sz w:val="12"/>
            <w:szCs w:val="12"/>
          </w:rPr>
          <w:t>записка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№ ПЗН-78920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800A09">
          <w:rPr>
            <w:i w:val="0"/>
            <w:sz w:val="12"/>
            <w:szCs w:val="12"/>
          </w:rPr>
          <w:t>від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</w:t>
        </w:r>
        <w:r w:rsidR="00855E11">
          <w:rPr>
            <w:i w:val="0"/>
            <w:sz w:val="12"/>
            <w:szCs w:val="12"/>
          </w:rPr>
          <w:t>07.03.2025</w:t>
        </w:r>
        <w:r w:rsidR="0012494D" w:rsidRPr="00800A09">
          <w:rPr>
            <w:i w:val="0"/>
            <w:sz w:val="12"/>
            <w:szCs w:val="12"/>
          </w:rPr>
          <w:t xml:space="preserve"> </w:t>
        </w:r>
        <w:proofErr w:type="spellStart"/>
        <w:r w:rsidR="0012494D" w:rsidRPr="00800A09">
          <w:rPr>
            <w:i w:val="0"/>
            <w:sz w:val="12"/>
            <w:szCs w:val="12"/>
          </w:rPr>
          <w:t>до</w:t>
        </w:r>
        <w:proofErr w:type="spellEnd"/>
        <w:r w:rsidR="0012494D" w:rsidRPr="00800A09">
          <w:rPr>
            <w:i w:val="0"/>
            <w:sz w:val="12"/>
            <w:szCs w:val="12"/>
          </w:rPr>
          <w:t xml:space="preserve"> </w:t>
        </w:r>
        <w:proofErr w:type="gramStart"/>
        <w:r w:rsidR="00500CE2">
          <w:rPr>
            <w:i w:val="0"/>
            <w:sz w:val="12"/>
            <w:szCs w:val="12"/>
            <w:lang w:val="uk-UA"/>
          </w:rPr>
          <w:t xml:space="preserve">справи </w:t>
        </w:r>
        <w:r w:rsidR="0012494D" w:rsidRPr="00800A09">
          <w:rPr>
            <w:i w:val="0"/>
            <w:sz w:val="12"/>
            <w:szCs w:val="12"/>
          </w:rPr>
          <w:t xml:space="preserve"> 745073391</w:t>
        </w:r>
        <w:proofErr w:type="gramEnd"/>
      </w:p>
      <w:p w14:paraId="3386C57A" w14:textId="68BAE1BC" w:rsidR="001548EE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46E11" w:rsidRPr="00046E1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1548EE" w:rsidRDefault="001548E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46E11"/>
    <w:rsid w:val="0012494D"/>
    <w:rsid w:val="001548EE"/>
    <w:rsid w:val="001675FB"/>
    <w:rsid w:val="00173F07"/>
    <w:rsid w:val="00174E19"/>
    <w:rsid w:val="001A7756"/>
    <w:rsid w:val="001D394E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3F7E7E"/>
    <w:rsid w:val="00452D5A"/>
    <w:rsid w:val="00463B38"/>
    <w:rsid w:val="00495A67"/>
    <w:rsid w:val="0049679E"/>
    <w:rsid w:val="00500CE2"/>
    <w:rsid w:val="0050652B"/>
    <w:rsid w:val="005740F1"/>
    <w:rsid w:val="00581A44"/>
    <w:rsid w:val="005C003C"/>
    <w:rsid w:val="005D5C2D"/>
    <w:rsid w:val="005E2EFF"/>
    <w:rsid w:val="0062023F"/>
    <w:rsid w:val="00624DD8"/>
    <w:rsid w:val="0065190A"/>
    <w:rsid w:val="006875EF"/>
    <w:rsid w:val="006A34C6"/>
    <w:rsid w:val="007033CD"/>
    <w:rsid w:val="00703A5A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94351B"/>
    <w:rsid w:val="0098267F"/>
    <w:rsid w:val="009C7DA5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96FCD"/>
    <w:rsid w:val="00C04B24"/>
    <w:rsid w:val="00C20204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157E6"/>
    <w:rsid w:val="00F54A05"/>
    <w:rsid w:val="00F60E6B"/>
    <w:rsid w:val="00F6419E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500C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CD96-5733-422C-A338-E000CC3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8589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Бережна Людмила Вікторівна</cp:lastModifiedBy>
  <cp:revision>50</cp:revision>
  <cp:lastPrinted>2025-04-02T12:16:00Z</cp:lastPrinted>
  <dcterms:created xsi:type="dcterms:W3CDTF">2020-11-18T11:16:00Z</dcterms:created>
  <dcterms:modified xsi:type="dcterms:W3CDTF">2025-04-03T13:32:00Z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