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E7BA7" w14:textId="524ADECF" w:rsidR="003266D5" w:rsidRDefault="003266D5" w:rsidP="00CF2418">
      <w:pPr>
        <w:pStyle w:val="a4"/>
        <w:shd w:val="clear" w:color="auto" w:fill="auto"/>
        <w:ind w:right="2314"/>
        <w:jc w:val="center"/>
        <w:rPr>
          <w:b/>
          <w:bCs/>
          <w:sz w:val="36"/>
          <w:szCs w:val="36"/>
        </w:rPr>
      </w:pPr>
    </w:p>
    <w:p w14:paraId="1D529766" w14:textId="77777777" w:rsidR="001F3683" w:rsidRDefault="001F3683" w:rsidP="00CF2418">
      <w:pPr>
        <w:pStyle w:val="a4"/>
        <w:shd w:val="clear" w:color="auto" w:fill="auto"/>
        <w:ind w:right="2314"/>
        <w:jc w:val="center"/>
        <w:rPr>
          <w:b/>
          <w:bCs/>
          <w:sz w:val="36"/>
          <w:szCs w:val="36"/>
        </w:rPr>
      </w:pPr>
    </w:p>
    <w:p w14:paraId="3688453D" w14:textId="047FE5C5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702615441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702615441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5B1D62">
        <w:rPr>
          <w:b/>
          <w:bCs/>
          <w:i w:val="0"/>
          <w:iCs w:val="0"/>
          <w:sz w:val="24"/>
          <w:szCs w:val="24"/>
          <w:lang w:val="ru-RU"/>
        </w:rPr>
        <w:t>ПЗН-61221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5B1D62">
        <w:rPr>
          <w:b/>
          <w:bCs/>
          <w:i w:val="0"/>
          <w:sz w:val="24"/>
          <w:szCs w:val="24"/>
          <w:lang w:val="ru-RU"/>
        </w:rPr>
        <w:t>27.12.2023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2DBC5F91" w:rsidR="00AC22F0" w:rsidRDefault="005B1D62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</w:rPr>
      </w:pPr>
      <w:r w:rsidRPr="005B1D62">
        <w:rPr>
          <w:b/>
          <w:i/>
          <w:color w:val="000000" w:themeColor="text1"/>
          <w:sz w:val="24"/>
          <w:szCs w:val="24"/>
        </w:rPr>
        <w:t xml:space="preserve">Про передачу ТОВАРИСТВУ З ОБМЕЖЕНОЮ ВІДПОВІДАЛЬНІСТЮ «ІНСТАЛ СІСТЕМ» земельної ділянки в </w:t>
      </w:r>
      <w:r w:rsidRPr="00D7478D">
        <w:rPr>
          <w:b/>
          <w:i/>
          <w:color w:val="000000" w:themeColor="text1"/>
          <w:sz w:val="24"/>
          <w:szCs w:val="24"/>
        </w:rPr>
        <w:t>оренду</w:t>
      </w:r>
      <w:r w:rsidRPr="005B1D62">
        <w:rPr>
          <w:b/>
          <w:i/>
          <w:color w:val="000000" w:themeColor="text1"/>
          <w:sz w:val="24"/>
          <w:szCs w:val="24"/>
        </w:rPr>
        <w:t xml:space="preserve"> </w:t>
      </w:r>
      <w:r w:rsidR="00D7478D" w:rsidRPr="00D7478D">
        <w:rPr>
          <w:b/>
          <w:i/>
          <w:color w:val="000000" w:themeColor="text1"/>
          <w:sz w:val="24"/>
          <w:szCs w:val="24"/>
        </w:rPr>
        <w:t> для експлуатації та обслуговування комплексу будівель та споруд</w:t>
      </w:r>
      <w:r w:rsidRPr="005B1D62">
        <w:rPr>
          <w:b/>
          <w:i/>
          <w:color w:val="000000" w:themeColor="text1"/>
          <w:sz w:val="24"/>
          <w:szCs w:val="24"/>
        </w:rPr>
        <w:t xml:space="preserve"> на вул. Пост-Волинськ</w:t>
      </w:r>
      <w:r w:rsidR="00CA5A25">
        <w:rPr>
          <w:b/>
          <w:i/>
          <w:color w:val="000000" w:themeColor="text1"/>
          <w:sz w:val="24"/>
          <w:szCs w:val="24"/>
        </w:rPr>
        <w:t>ій</w:t>
      </w:r>
      <w:r w:rsidRPr="005B1D62">
        <w:rPr>
          <w:b/>
          <w:i/>
          <w:color w:val="000000" w:themeColor="text1"/>
          <w:sz w:val="24"/>
          <w:szCs w:val="24"/>
        </w:rPr>
        <w:t xml:space="preserve">, 7 </w:t>
      </w:r>
      <w:r w:rsidR="00D933D7">
        <w:rPr>
          <w:b/>
          <w:i/>
          <w:color w:val="000000" w:themeColor="text1"/>
          <w:sz w:val="24"/>
          <w:szCs w:val="24"/>
        </w:rPr>
        <w:t xml:space="preserve">літ. А </w:t>
      </w:r>
      <w:r w:rsidRPr="005B1D62">
        <w:rPr>
          <w:b/>
          <w:i/>
          <w:color w:val="000000" w:themeColor="text1"/>
          <w:sz w:val="24"/>
          <w:szCs w:val="24"/>
        </w:rPr>
        <w:t>у Солом'янському районі міста Києва</w:t>
      </w:r>
    </w:p>
    <w:p w14:paraId="0C730EBD" w14:textId="77777777" w:rsidR="005B1D62" w:rsidRPr="005B1D62" w:rsidRDefault="005B1D62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«ІНСТАЛ СІСТЕМ»</w:t>
            </w:r>
          </w:p>
        </w:tc>
      </w:tr>
      <w:tr w:rsidR="00E94376" w:rsidRPr="0057685E" w14:paraId="771EC876" w14:textId="77777777" w:rsidTr="00D933D7">
        <w:trPr>
          <w:cantSplit/>
          <w:trHeight w:val="837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045B3BD2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079031D" w14:textId="69552AD3" w:rsidR="00E94376" w:rsidRPr="005B1D62" w:rsidRDefault="00D933D7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Кушпіровська Ольга Ярославівна;</w:t>
            </w:r>
          </w:p>
          <w:p w14:paraId="08C13519" w14:textId="28658944" w:rsidR="005B1D62" w:rsidRPr="0057685E" w:rsidRDefault="00D933D7" w:rsidP="00C443DC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Гарапенчук Ігор Петрович</w:t>
            </w:r>
            <w:r w:rsidR="00C443DC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E94376" w:rsidRPr="0057685E" w14:paraId="0397713C" w14:textId="77777777" w:rsidTr="00C443DC">
        <w:trPr>
          <w:cantSplit/>
          <w:trHeight w:val="707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1BB3C6E9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D7478D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7119BDE8" w14:textId="3666BE52" w:rsidR="00E94376" w:rsidRPr="0057685E" w:rsidRDefault="00CC2BB9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E94376" w:rsidRPr="0057685E" w14:paraId="75D5497D" w14:textId="77777777" w:rsidTr="00C443DC">
        <w:trPr>
          <w:cantSplit/>
          <w:trHeight w:val="392"/>
        </w:trPr>
        <w:tc>
          <w:tcPr>
            <w:tcW w:w="3266" w:type="dxa"/>
          </w:tcPr>
          <w:p w14:paraId="18D59DA4" w14:textId="5CAE4E36" w:rsidR="00E94376" w:rsidRPr="0057685E" w:rsidRDefault="005B1D62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 w:rsidRPr="000F7527">
              <w:rPr>
                <w:b w:val="0"/>
                <w:sz w:val="24"/>
                <w:szCs w:val="24"/>
              </w:rPr>
              <w:t>Реєстраційний номер: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30.11.2023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702615441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4B9BBBDF" w:rsidR="00080D65" w:rsidRPr="0057685E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b w:val="0"/>
          <w:sz w:val="24"/>
          <w:szCs w:val="24"/>
        </w:rPr>
      </w:pPr>
      <w:r w:rsidRPr="0057685E">
        <w:rPr>
          <w:b w:val="0"/>
          <w:sz w:val="24"/>
          <w:szCs w:val="24"/>
        </w:rPr>
        <w:t>Відомості про земельну ділянку (</w:t>
      </w:r>
      <w:r w:rsidR="001F3683">
        <w:rPr>
          <w:b w:val="0"/>
          <w:sz w:val="24"/>
          <w:szCs w:val="24"/>
        </w:rPr>
        <w:t>кадастровий</w:t>
      </w:r>
      <w:r w:rsidRPr="0057685E">
        <w:rPr>
          <w:b w:val="0"/>
          <w:sz w:val="24"/>
          <w:szCs w:val="24"/>
        </w:rPr>
        <w:t xml:space="preserve"> № </w:t>
      </w:r>
      <w:r w:rsidR="0027157C" w:rsidRPr="0057685E">
        <w:rPr>
          <w:b w:val="0"/>
          <w:sz w:val="24"/>
          <w:szCs w:val="24"/>
        </w:rPr>
        <w:t>8000000000:69:264:0002</w:t>
      </w:r>
      <w:r w:rsidRPr="0057685E">
        <w:rPr>
          <w:b w:val="0"/>
          <w:sz w:val="24"/>
          <w:szCs w:val="24"/>
        </w:rPr>
        <w:t>)</w:t>
      </w:r>
      <w:r w:rsidR="00726D11" w:rsidRPr="0057685E">
        <w:rPr>
          <w:b w:val="0"/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8A338E" w:rsidRPr="0057685E" w14:paraId="6CEA0ABA" w14:textId="77777777" w:rsidTr="005B1D62">
        <w:trPr>
          <w:trHeight w:hRule="exact" w:val="437"/>
        </w:trPr>
        <w:tc>
          <w:tcPr>
            <w:tcW w:w="3261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78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Солом'янський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вул. Пост-Волинська, 7</w:t>
            </w:r>
          </w:p>
        </w:tc>
      </w:tr>
      <w:tr w:rsidR="008A338E" w:rsidRPr="0057685E" w14:paraId="5B94B40E" w14:textId="77777777" w:rsidTr="005B1D62">
        <w:trPr>
          <w:trHeight w:hRule="exact" w:val="274"/>
        </w:trPr>
        <w:tc>
          <w:tcPr>
            <w:tcW w:w="3261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78" w:type="dxa"/>
            <w:shd w:val="clear" w:color="auto" w:fill="FFFFFF"/>
          </w:tcPr>
          <w:p w14:paraId="4BB78C78" w14:textId="32217E1F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1,00</w:t>
            </w:r>
            <w:r w:rsidR="001F3683">
              <w:rPr>
                <w:i/>
                <w:iCs/>
                <w:sz w:val="24"/>
                <w:szCs w:val="24"/>
              </w:rPr>
              <w:t>03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B1D62">
        <w:trPr>
          <w:trHeight w:hRule="exact" w:val="279"/>
        </w:trPr>
        <w:tc>
          <w:tcPr>
            <w:tcW w:w="3261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78" w:type="dxa"/>
            <w:shd w:val="clear" w:color="auto" w:fill="FFFFFF"/>
          </w:tcPr>
          <w:p w14:paraId="25044A34" w14:textId="7A3CF697" w:rsidR="008A338E" w:rsidRPr="005B1D62" w:rsidRDefault="005B1D62" w:rsidP="00543DEA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 xml:space="preserve">Право в процесі оформлення (оренда на </w:t>
            </w:r>
            <w:r w:rsidR="00543DEA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 xml:space="preserve"> років)</w:t>
            </w:r>
          </w:p>
        </w:tc>
      </w:tr>
      <w:tr w:rsidR="00316C72" w:rsidRPr="00C23403" w14:paraId="0318DAB5" w14:textId="77777777" w:rsidTr="00316C72">
        <w:trPr>
          <w:trHeight w:hRule="exact" w:val="723"/>
        </w:trPr>
        <w:tc>
          <w:tcPr>
            <w:tcW w:w="3261" w:type="dxa"/>
            <w:shd w:val="clear" w:color="auto" w:fill="FFFFFF"/>
          </w:tcPr>
          <w:p w14:paraId="49E4A14D" w14:textId="0E2825A5" w:rsidR="00316C72" w:rsidRDefault="00316C72" w:rsidP="00AF7A4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6378" w:type="dxa"/>
            <w:shd w:val="clear" w:color="auto" w:fill="FFFFFF"/>
          </w:tcPr>
          <w:p w14:paraId="630CF4D1" w14:textId="25C710EC" w:rsidR="00316C72" w:rsidRDefault="00316C72" w:rsidP="0030043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316C72">
              <w:rPr>
                <w:i/>
                <w:sz w:val="24"/>
                <w:szCs w:val="24"/>
              </w:rPr>
              <w:t xml:space="preserve">Землі промисловості, транспорту, </w:t>
            </w:r>
            <w:r w:rsidR="00300435">
              <w:rPr>
                <w:i/>
                <w:sz w:val="24"/>
                <w:szCs w:val="24"/>
              </w:rPr>
              <w:t>електронних комунікацій</w:t>
            </w:r>
            <w:r w:rsidRPr="00316C72">
              <w:rPr>
                <w:i/>
                <w:sz w:val="24"/>
                <w:szCs w:val="24"/>
              </w:rPr>
              <w:t>, енергетики, оборони та іншого призначення</w:t>
            </w:r>
          </w:p>
        </w:tc>
      </w:tr>
      <w:tr w:rsidR="005B1D62" w:rsidRPr="00C23403" w14:paraId="0C18BD63" w14:textId="77777777" w:rsidTr="00427C05">
        <w:trPr>
          <w:trHeight w:hRule="exact" w:val="1296"/>
        </w:trPr>
        <w:tc>
          <w:tcPr>
            <w:tcW w:w="3261" w:type="dxa"/>
            <w:shd w:val="clear" w:color="auto" w:fill="FFFFFF"/>
          </w:tcPr>
          <w:p w14:paraId="007B3B3C" w14:textId="77777777" w:rsidR="005B1D62" w:rsidRPr="00C23403" w:rsidRDefault="005B1D62" w:rsidP="00AF7A4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127EF">
              <w:rPr>
                <w:sz w:val="24"/>
                <w:szCs w:val="24"/>
              </w:rPr>
              <w:t>од виду цільового призначення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shd w:val="clear" w:color="auto" w:fill="FFFFFF"/>
          </w:tcPr>
          <w:p w14:paraId="129C2A8A" w14:textId="71ECB9FA" w:rsidR="005B1D62" w:rsidRPr="00C23403" w:rsidRDefault="00C05B7D" w:rsidP="00C05B7D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11.02</w:t>
            </w:r>
            <w:r w:rsidR="005B1D62">
              <w:rPr>
                <w:i/>
                <w:sz w:val="24"/>
                <w:szCs w:val="24"/>
              </w:rPr>
              <w:t xml:space="preserve"> </w:t>
            </w:r>
            <w:r w:rsidRPr="00C05B7D">
              <w:rPr>
                <w:i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</w:t>
            </w:r>
            <w:r>
              <w:rPr>
                <w:i/>
                <w:sz w:val="24"/>
                <w:szCs w:val="24"/>
              </w:rPr>
              <w:t>і</w:t>
            </w:r>
            <w:r w:rsidR="001F3683">
              <w:rPr>
                <w:i/>
                <w:sz w:val="24"/>
                <w:szCs w:val="24"/>
              </w:rPr>
              <w:t xml:space="preserve"> </w:t>
            </w:r>
            <w:r w:rsidR="00427C05">
              <w:rPr>
                <w:i/>
                <w:sz w:val="24"/>
                <w:szCs w:val="24"/>
              </w:rPr>
              <w:t>(</w:t>
            </w:r>
            <w:r w:rsidR="00427C05" w:rsidRPr="00427C05">
              <w:rPr>
                <w:i/>
                <w:sz w:val="24"/>
                <w:szCs w:val="24"/>
              </w:rPr>
              <w:t>для експлуатації та обслуговування комплексу будівель та споруд)</w:t>
            </w:r>
          </w:p>
        </w:tc>
      </w:tr>
      <w:tr w:rsidR="005B1D62" w14:paraId="6E292314" w14:textId="77777777" w:rsidTr="005B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6485C" w14:textId="77777777" w:rsidR="005B1D62" w:rsidRPr="00E311BC" w:rsidRDefault="005B1D62" w:rsidP="00AF7A44">
            <w:pPr>
              <w:pStyle w:val="a4"/>
              <w:rPr>
                <w:sz w:val="24"/>
                <w:szCs w:val="24"/>
              </w:rPr>
            </w:pPr>
            <w:r w:rsidRPr="00E311BC">
              <w:rPr>
                <w:sz w:val="24"/>
                <w:szCs w:val="24"/>
              </w:rPr>
              <w:t>Нормативна грошова оцінка</w:t>
            </w:r>
          </w:p>
          <w:p w14:paraId="53B2B4E5" w14:textId="77777777" w:rsidR="005B1D62" w:rsidRPr="00456FAA" w:rsidRDefault="005B1D62" w:rsidP="00AF7A44">
            <w:pPr>
              <w:pStyle w:val="a4"/>
              <w:rPr>
                <w:sz w:val="24"/>
                <w:szCs w:val="24"/>
              </w:rPr>
            </w:pPr>
            <w:r w:rsidRPr="00E311BC">
              <w:rPr>
                <w:sz w:val="24"/>
                <w:szCs w:val="24"/>
              </w:rPr>
              <w:t xml:space="preserve"> (за попереднім розрахунком*)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14EA7" w14:textId="77777777" w:rsidR="00C05B7D" w:rsidRPr="00C05B7D" w:rsidRDefault="005B1D62" w:rsidP="00C05B7D">
            <w:pPr>
              <w:pStyle w:val="a4"/>
              <w:jc w:val="both"/>
              <w:rPr>
                <w:sz w:val="10"/>
                <w:szCs w:val="10"/>
                <w:bdr w:val="none" w:sz="0" w:space="0" w:color="auto" w:frame="1"/>
                <w:shd w:val="clear" w:color="auto" w:fill="FFFFFF"/>
              </w:rPr>
            </w:pPr>
            <w:r w:rsidRPr="00C05B7D">
              <w:rPr>
                <w:i/>
                <w:sz w:val="24"/>
                <w:szCs w:val="24"/>
              </w:rPr>
              <w:t xml:space="preserve"> </w:t>
            </w:r>
            <w:r w:rsidR="00C05B7D">
              <w:rPr>
                <w:bdr w:val="none" w:sz="0" w:space="0" w:color="auto" w:frame="1"/>
                <w:shd w:val="clear" w:color="auto" w:fill="FFFFFF"/>
              </w:rPr>
              <w:t> </w:t>
            </w:r>
          </w:p>
          <w:p w14:paraId="09D2919E" w14:textId="3580F199" w:rsidR="00C05B7D" w:rsidRPr="00C05B7D" w:rsidRDefault="00C05B7D" w:rsidP="00C05B7D">
            <w:pPr>
              <w:pStyle w:val="a4"/>
              <w:jc w:val="both"/>
            </w:pPr>
            <w:r w:rsidRPr="00C05B7D">
              <w:rPr>
                <w:i/>
                <w:sz w:val="24"/>
                <w:szCs w:val="24"/>
              </w:rPr>
              <w:t>13 382</w:t>
            </w:r>
            <w:r>
              <w:rPr>
                <w:i/>
                <w:sz w:val="24"/>
                <w:szCs w:val="24"/>
              </w:rPr>
              <w:t> </w:t>
            </w:r>
            <w:r w:rsidRPr="00C05B7D">
              <w:rPr>
                <w:i/>
                <w:sz w:val="24"/>
                <w:szCs w:val="24"/>
              </w:rPr>
              <w:t>124</w:t>
            </w:r>
            <w:r>
              <w:rPr>
                <w:i/>
                <w:sz w:val="24"/>
                <w:szCs w:val="24"/>
              </w:rPr>
              <w:t xml:space="preserve"> грн </w:t>
            </w:r>
            <w:r w:rsidRPr="00C05B7D">
              <w:rPr>
                <w:i/>
                <w:sz w:val="24"/>
                <w:szCs w:val="24"/>
              </w:rPr>
              <w:t>48</w:t>
            </w:r>
            <w:r>
              <w:rPr>
                <w:i/>
                <w:sz w:val="24"/>
                <w:szCs w:val="24"/>
              </w:rPr>
              <w:t xml:space="preserve"> коп.</w:t>
            </w:r>
          </w:p>
        </w:tc>
      </w:tr>
    </w:tbl>
    <w:tbl>
      <w:tblPr>
        <w:tblStyle w:val="a8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B1D62" w:rsidRPr="005B36F0" w14:paraId="24D10A3B" w14:textId="77777777" w:rsidTr="005B1D62">
        <w:trPr>
          <w:trHeight w:val="480"/>
        </w:trPr>
        <w:tc>
          <w:tcPr>
            <w:tcW w:w="9639" w:type="dxa"/>
          </w:tcPr>
          <w:p w14:paraId="3B339773" w14:textId="77777777" w:rsidR="005B1D62" w:rsidRPr="006E10B3" w:rsidRDefault="005B1D62" w:rsidP="00AF7A44">
            <w:pPr>
              <w:pStyle w:val="1"/>
              <w:tabs>
                <w:tab w:val="left" w:pos="668"/>
              </w:tabs>
              <w:spacing w:line="228" w:lineRule="auto"/>
              <w:ind w:left="-120"/>
              <w:rPr>
                <w:i w:val="0"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Pr="0078040B">
              <w:rPr>
                <w:sz w:val="24"/>
                <w:szCs w:val="24"/>
              </w:rPr>
              <w:t>*</w:t>
            </w:r>
            <w:r w:rsidRPr="00DC4060">
              <w:rPr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sz w:val="24"/>
                <w:szCs w:val="24"/>
                <w:lang w:val="ru-RU"/>
              </w:rPr>
              <w:t xml:space="preserve">  </w:t>
            </w:r>
          </w:p>
          <w:p w14:paraId="4545E0E2" w14:textId="77777777" w:rsidR="005B1D62" w:rsidRDefault="005B1D62" w:rsidP="00AF7A44">
            <w:pPr>
              <w:pStyle w:val="1"/>
              <w:tabs>
                <w:tab w:val="left" w:pos="668"/>
              </w:tabs>
              <w:spacing w:line="228" w:lineRule="auto"/>
              <w:ind w:left="-120"/>
              <w:rPr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Pr="00DC4060">
              <w:rPr>
                <w:sz w:val="24"/>
                <w:szCs w:val="24"/>
              </w:rPr>
              <w:t>відповідно до вимог чинного законодавства</w:t>
            </w:r>
            <w:r>
              <w:rPr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177B163C" w14:textId="0634129B" w:rsidR="00C05B7D" w:rsidRPr="00E311BC" w:rsidRDefault="00C05B7D" w:rsidP="00C05B7D">
      <w:pPr>
        <w:pStyle w:val="1"/>
        <w:shd w:val="clear" w:color="auto" w:fill="auto"/>
        <w:ind w:firstLine="403"/>
        <w:jc w:val="both"/>
        <w:rPr>
          <w:i w:val="0"/>
          <w:sz w:val="24"/>
          <w:szCs w:val="24"/>
        </w:rPr>
      </w:pPr>
      <w:r w:rsidRPr="00E311BC">
        <w:rPr>
          <w:i w:val="0"/>
          <w:sz w:val="24"/>
          <w:szCs w:val="24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</w:t>
      </w:r>
      <w:r>
        <w:rPr>
          <w:i w:val="0"/>
          <w:sz w:val="24"/>
          <w:szCs w:val="24"/>
        </w:rPr>
        <w:t xml:space="preserve"> </w:t>
      </w:r>
      <w:r w:rsidRPr="00C05B7D">
        <w:rPr>
          <w:i w:val="0"/>
          <w:sz w:val="24"/>
          <w:szCs w:val="24"/>
        </w:rPr>
        <w:t xml:space="preserve">27 грудня 2023 року № </w:t>
      </w:r>
      <w:r w:rsidR="008836D9" w:rsidRPr="008836D9">
        <w:rPr>
          <w:i w:val="0"/>
          <w:iCs w:val="0"/>
          <w:sz w:val="24"/>
          <w:szCs w:val="24"/>
        </w:rPr>
        <w:t>НВ-0002776162023</w:t>
      </w:r>
      <w:r w:rsidRPr="00A11797">
        <w:rPr>
          <w:i w:val="0"/>
          <w:sz w:val="24"/>
          <w:szCs w:val="24"/>
        </w:rPr>
        <w:t>),</w:t>
      </w:r>
      <w:r w:rsidRPr="00E311BC">
        <w:rPr>
          <w:i w:val="0"/>
          <w:sz w:val="24"/>
          <w:szCs w:val="24"/>
        </w:rPr>
        <w:t xml:space="preserve"> право комунальної власності територіальної громади міста Києва на яку зареєстровано в установленому порядку (</w:t>
      </w:r>
      <w:r w:rsidRPr="00C92D5B">
        <w:rPr>
          <w:i w:val="0"/>
          <w:sz w:val="24"/>
          <w:szCs w:val="24"/>
        </w:rPr>
        <w:t xml:space="preserve">право власності зареєстровано в Державному реєстрі речових прав на нерухоме майно </w:t>
      </w:r>
      <w:r>
        <w:rPr>
          <w:i w:val="0"/>
          <w:sz w:val="24"/>
          <w:szCs w:val="24"/>
        </w:rPr>
        <w:t xml:space="preserve">                                     </w:t>
      </w:r>
      <w:r w:rsidR="001327DF">
        <w:rPr>
          <w:i w:val="0"/>
          <w:sz w:val="24"/>
          <w:szCs w:val="24"/>
        </w:rPr>
        <w:t>29</w:t>
      </w:r>
      <w:r w:rsidRPr="00C05B7D">
        <w:rPr>
          <w:i w:val="0"/>
          <w:sz w:val="24"/>
          <w:szCs w:val="24"/>
        </w:rPr>
        <w:t xml:space="preserve"> </w:t>
      </w:r>
      <w:r w:rsidR="001327DF">
        <w:rPr>
          <w:i w:val="0"/>
          <w:sz w:val="24"/>
          <w:szCs w:val="24"/>
        </w:rPr>
        <w:t>грудня</w:t>
      </w:r>
      <w:r w:rsidRPr="00C05B7D">
        <w:rPr>
          <w:i w:val="0"/>
          <w:sz w:val="24"/>
          <w:szCs w:val="24"/>
        </w:rPr>
        <w:t xml:space="preserve"> 20</w:t>
      </w:r>
      <w:r w:rsidR="008836D9">
        <w:rPr>
          <w:i w:val="0"/>
          <w:sz w:val="24"/>
          <w:szCs w:val="24"/>
        </w:rPr>
        <w:t>2</w:t>
      </w:r>
      <w:r w:rsidR="001327DF">
        <w:rPr>
          <w:i w:val="0"/>
          <w:sz w:val="24"/>
          <w:szCs w:val="24"/>
        </w:rPr>
        <w:t>3</w:t>
      </w:r>
      <w:r w:rsidRPr="00C05B7D">
        <w:rPr>
          <w:i w:val="0"/>
          <w:sz w:val="24"/>
          <w:szCs w:val="24"/>
        </w:rPr>
        <w:t xml:space="preserve"> року, номери відомостей про речове право </w:t>
      </w:r>
      <w:r w:rsidR="001327DF">
        <w:rPr>
          <w:i w:val="0"/>
          <w:sz w:val="24"/>
          <w:szCs w:val="24"/>
        </w:rPr>
        <w:t>53197607</w:t>
      </w:r>
      <w:r w:rsidRPr="00E311BC">
        <w:rPr>
          <w:i w:val="0"/>
          <w:sz w:val="24"/>
          <w:szCs w:val="24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передачі</w:t>
      </w:r>
      <w:r w:rsidR="00D933D7">
        <w:rPr>
          <w:i w:val="0"/>
          <w:sz w:val="24"/>
          <w:szCs w:val="24"/>
        </w:rPr>
        <w:t xml:space="preserve"> в оренду</w:t>
      </w:r>
      <w:r w:rsidRPr="00E311BC">
        <w:rPr>
          <w:i w:val="0"/>
          <w:sz w:val="24"/>
          <w:szCs w:val="24"/>
        </w:rPr>
        <w:t xml:space="preserve"> земельної ділянки без зміни її меж та цільового призначення без складання документації із землеустрою.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268C023D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43EAFD5" w14:textId="2E4DE7A9" w:rsidR="003266D5" w:rsidRDefault="003266D5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14362B9E" w14:textId="77777777" w:rsidR="00722855" w:rsidRPr="00C7476E" w:rsidRDefault="00722855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1327DF">
        <w:trPr>
          <w:cantSplit/>
          <w:trHeight w:val="5122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14822A7C" w14:textId="4CA7C1B0" w:rsidR="00BC5ACD" w:rsidRDefault="00BC5ACD" w:rsidP="00BC5AC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2E66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забудована. </w:t>
            </w:r>
            <w:r w:rsidRPr="00422E66">
              <w:rPr>
                <w:rFonts w:ascii="Times New Roman" w:hAnsi="Times New Roman" w:cs="Times New Roman"/>
                <w:i/>
              </w:rPr>
              <w:t>На земельній ділянці розташован</w:t>
            </w:r>
            <w:r>
              <w:rPr>
                <w:rFonts w:ascii="Times New Roman" w:hAnsi="Times New Roman" w:cs="Times New Roman"/>
                <w:i/>
              </w:rPr>
              <w:t xml:space="preserve">ий </w:t>
            </w:r>
            <w:r w:rsidR="00D933D7">
              <w:rPr>
                <w:rFonts w:ascii="Times New Roman" w:hAnsi="Times New Roman" w:cs="Times New Roman"/>
                <w:i/>
              </w:rPr>
              <w:t xml:space="preserve">виробничий </w:t>
            </w:r>
            <w:r>
              <w:rPr>
                <w:rFonts w:ascii="Times New Roman" w:hAnsi="Times New Roman" w:cs="Times New Roman"/>
                <w:i/>
              </w:rPr>
              <w:t>будинок з господарськими (допоміжними) будівлями та спорудами</w:t>
            </w:r>
            <w:r w:rsidRPr="00422E6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6837,5 </w:t>
            </w:r>
            <w:r>
              <w:rPr>
                <w:rFonts w:ascii="Times New Roman" w:hAnsi="Times New Roman" w:cs="Times New Roman"/>
                <w:i/>
              </w:rPr>
              <w:t>кв.м</w:t>
            </w:r>
            <w:r w:rsidRPr="00422E66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а саме:- нежила будівля літ. «А» - площею 4756,5 кв.м;</w:t>
            </w:r>
          </w:p>
          <w:p w14:paraId="60A48221" w14:textId="77777777" w:rsidR="00BC5ACD" w:rsidRDefault="00BC5ACD" w:rsidP="00BC5AC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склад літ. «Б» - площею 101,5 кв.м;</w:t>
            </w:r>
          </w:p>
          <w:p w14:paraId="222116D7" w14:textId="77777777" w:rsidR="00BC5ACD" w:rsidRDefault="00BC5ACD" w:rsidP="00BC5AC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склад літ. «В» - площею 1317,0 кв.м;</w:t>
            </w:r>
          </w:p>
          <w:p w14:paraId="6A75EA54" w14:textId="77777777" w:rsidR="00BC5ACD" w:rsidRDefault="00BC5ACD" w:rsidP="00BC5AC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будинок охорони літ. «Г» - площею 150,7 кв.м;</w:t>
            </w:r>
          </w:p>
          <w:p w14:paraId="45DFD1FE" w14:textId="77777777" w:rsidR="004A08AA" w:rsidRDefault="00BC5ACD" w:rsidP="00BC5AC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склад літ. «Д» - площею 511,8 кв.м. </w:t>
            </w:r>
          </w:p>
          <w:p w14:paraId="0B3C1984" w14:textId="122EF53D" w:rsidR="00BC5ACD" w:rsidRDefault="004A08AA" w:rsidP="00BC5AC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Вищевказані </w:t>
            </w:r>
            <w:r w:rsidR="00823F8C">
              <w:rPr>
                <w:rFonts w:ascii="Times New Roman" w:hAnsi="Times New Roman" w:cs="Times New Roman"/>
                <w:i/>
              </w:rPr>
              <w:t xml:space="preserve">будівля та </w:t>
            </w:r>
            <w:r>
              <w:rPr>
                <w:rFonts w:ascii="Times New Roman" w:hAnsi="Times New Roman" w:cs="Times New Roman"/>
                <w:i/>
              </w:rPr>
              <w:t>споруди</w:t>
            </w:r>
            <w:r w:rsidR="00BC5ACD" w:rsidRPr="00422E66">
              <w:rPr>
                <w:rFonts w:ascii="Times New Roman" w:hAnsi="Times New Roman" w:cs="Times New Roman"/>
                <w:i/>
              </w:rPr>
              <w:t xml:space="preserve"> </w:t>
            </w:r>
            <w:r w:rsidR="00BC5ACD">
              <w:rPr>
                <w:rFonts w:ascii="Times New Roman" w:hAnsi="Times New Roman" w:cs="Times New Roman"/>
                <w:i/>
              </w:rPr>
              <w:t xml:space="preserve">на підставі договору купівлі-продажу від 24.10.2019 № 168 </w:t>
            </w:r>
            <w:r w:rsidR="00BC5ACD" w:rsidRPr="00422E66">
              <w:rPr>
                <w:rFonts w:ascii="Times New Roman" w:hAnsi="Times New Roman" w:cs="Times New Roman"/>
                <w:i/>
              </w:rPr>
              <w:t>перебува</w:t>
            </w:r>
            <w:r w:rsidR="00BC5ACD">
              <w:rPr>
                <w:rFonts w:ascii="Times New Roman" w:hAnsi="Times New Roman" w:cs="Times New Roman"/>
                <w:i/>
              </w:rPr>
              <w:t>ють</w:t>
            </w:r>
            <w:r w:rsidR="00BC5ACD" w:rsidRPr="00422E66">
              <w:rPr>
                <w:rFonts w:ascii="Times New Roman" w:hAnsi="Times New Roman" w:cs="Times New Roman"/>
                <w:i/>
              </w:rPr>
              <w:t xml:space="preserve"> у вл</w:t>
            </w:r>
            <w:r w:rsidR="00BC5ACD">
              <w:rPr>
                <w:rFonts w:ascii="Times New Roman" w:hAnsi="Times New Roman" w:cs="Times New Roman"/>
                <w:i/>
              </w:rPr>
              <w:t xml:space="preserve">асності </w:t>
            </w:r>
            <w:r w:rsidR="00BC5ACD" w:rsidRPr="009E644B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>А</w:t>
            </w:r>
            <w:r w:rsidR="00BC5ACD" w:rsidRPr="009E644B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«ІНСТАЛ СІСТЕМ»</w:t>
            </w:r>
            <w:r w:rsidR="00BC5ACD" w:rsidRPr="00C92D5B">
              <w:t xml:space="preserve"> </w:t>
            </w:r>
            <w:r w:rsidR="00BC5ACD">
              <w:rPr>
                <w:rFonts w:ascii="Times New Roman" w:hAnsi="Times New Roman" w:cs="Times New Roman"/>
                <w:i/>
              </w:rPr>
              <w:t>(п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>раво власност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>і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 xml:space="preserve"> зареєстровано у Державному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>реєстрі речових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 xml:space="preserve"> прав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 xml:space="preserve">на нерухоме майно 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>24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>.1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>0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>.20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>19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>33835568</w:t>
            </w:r>
            <w:r w:rsidR="00722855">
              <w:rPr>
                <w:rFonts w:ascii="Times New Roman" w:eastAsia="Times New Roman" w:hAnsi="Times New Roman" w:cs="Times New Roman"/>
                <w:i/>
              </w:rPr>
              <w:t>)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>27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>.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>12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>.2023 № </w:t>
            </w:r>
            <w:r w:rsidR="00BC5ACD">
              <w:rPr>
                <w:rFonts w:ascii="Times New Roman" w:eastAsia="Times New Roman" w:hAnsi="Times New Roman" w:cs="Times New Roman"/>
                <w:i/>
              </w:rPr>
              <w:t>360105052</w:t>
            </w:r>
            <w:r w:rsidR="00BC5ACD" w:rsidRPr="00422E66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2FCE8E57" w14:textId="31C361F4" w:rsidR="00622A5B" w:rsidRPr="00F336A8" w:rsidRDefault="009E644B" w:rsidP="009E644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22A5B" w:rsidRPr="0070402C" w14:paraId="1055C217" w14:textId="77777777" w:rsidTr="001327DF">
        <w:trPr>
          <w:cantSplit/>
          <w:trHeight w:val="3536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03F7C0B9" w14:textId="36C54F04" w:rsidR="008C2D4B" w:rsidRPr="005B24D8" w:rsidRDefault="008C2D4B" w:rsidP="00D0225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B24D8">
              <w:rPr>
                <w:rFonts w:ascii="Times New Roman" w:hAnsi="Times New Roman" w:cs="Times New Roman"/>
                <w:i/>
                <w:color w:val="auto"/>
              </w:rPr>
              <w:t xml:space="preserve">Відповідно до детального плану території </w:t>
            </w:r>
            <w:r w:rsidRPr="005B24D8">
              <w:rPr>
                <w:rFonts w:ascii="Times New Roman" w:hAnsi="Times New Roman" w:cs="Times New Roman"/>
                <w:i/>
                <w:snapToGrid w:val="0"/>
              </w:rPr>
              <w:t>в межах бульвару І. Лепсе, вул. Суздальсь</w:t>
            </w:r>
            <w:r w:rsidR="001327DF">
              <w:rPr>
                <w:rFonts w:ascii="Times New Roman" w:hAnsi="Times New Roman" w:cs="Times New Roman"/>
                <w:i/>
                <w:snapToGrid w:val="0"/>
              </w:rPr>
              <w:t>к</w:t>
            </w:r>
            <w:r w:rsidRPr="005B24D8">
              <w:rPr>
                <w:rFonts w:ascii="Times New Roman" w:hAnsi="Times New Roman" w:cs="Times New Roman"/>
                <w:i/>
                <w:snapToGrid w:val="0"/>
              </w:rPr>
              <w:t>ої, вул. Академіка Білецького і залізниці, затвердженого рішенням Київської міської ради</w:t>
            </w:r>
            <w:r w:rsidR="005B24D8" w:rsidRPr="005B24D8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5B24D8">
              <w:rPr>
                <w:rFonts w:ascii="Times New Roman" w:hAnsi="Times New Roman" w:cs="Times New Roman"/>
                <w:i/>
                <w:snapToGrid w:val="0"/>
              </w:rPr>
              <w:t xml:space="preserve">від </w:t>
            </w:r>
            <w:r w:rsidRPr="005B24D8">
              <w:rPr>
                <w:rFonts w:ascii="Times New Roman" w:eastAsia="Times New Roman" w:hAnsi="Times New Roman" w:cs="Times New Roman"/>
                <w:i/>
              </w:rPr>
              <w:t>20.12.2017 № 1007/4014</w:t>
            </w:r>
            <w:r w:rsidRPr="005B24D8">
              <w:rPr>
                <w:rFonts w:ascii="Times New Roman" w:hAnsi="Times New Roman" w:cs="Times New Roman"/>
                <w:i/>
                <w:snapToGrid w:val="0"/>
              </w:rPr>
              <w:t xml:space="preserve">, земельна ділянка належить </w:t>
            </w:r>
            <w:r w:rsidR="00D933D7">
              <w:rPr>
                <w:rFonts w:ascii="Times New Roman" w:hAnsi="Times New Roman" w:cs="Times New Roman"/>
                <w:i/>
                <w:snapToGrid w:val="0"/>
              </w:rPr>
              <w:t>переважно</w:t>
            </w:r>
            <w:r w:rsidR="00B31069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5B24D8">
              <w:rPr>
                <w:rFonts w:ascii="Times New Roman" w:hAnsi="Times New Roman" w:cs="Times New Roman"/>
                <w:i/>
                <w:snapToGrid w:val="0"/>
              </w:rPr>
              <w:t xml:space="preserve">до </w:t>
            </w:r>
            <w:r w:rsidR="005B24D8">
              <w:rPr>
                <w:rFonts w:ascii="Times New Roman" w:hAnsi="Times New Roman" w:cs="Times New Roman"/>
                <w:i/>
                <w:snapToGrid w:val="0"/>
              </w:rPr>
              <w:t xml:space="preserve">промислової </w:t>
            </w:r>
            <w:r w:rsidRPr="005B24D8">
              <w:rPr>
                <w:rFonts w:ascii="Times New Roman" w:hAnsi="Times New Roman" w:cs="Times New Roman"/>
                <w:i/>
                <w:snapToGrid w:val="0"/>
              </w:rPr>
              <w:t xml:space="preserve">території </w:t>
            </w:r>
            <w:r w:rsidR="005B24D8" w:rsidRPr="005B24D8">
              <w:rPr>
                <w:rFonts w:ascii="Times New Roman" w:hAnsi="Times New Roman" w:cs="Times New Roman"/>
                <w:i/>
                <w:snapToGrid w:val="0"/>
              </w:rPr>
              <w:t xml:space="preserve">та частково </w:t>
            </w:r>
            <w:r w:rsidR="005B24D8" w:rsidRPr="00D933D7">
              <w:rPr>
                <w:rFonts w:ascii="Times New Roman" w:hAnsi="Times New Roman" w:cs="Times New Roman"/>
                <w:i/>
                <w:snapToGrid w:val="0"/>
              </w:rPr>
              <w:t> до території</w:t>
            </w:r>
            <w:r w:rsidR="005B24D8" w:rsidRPr="005B24D8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</w:t>
            </w:r>
            <w:r w:rsidR="00D933D7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вулиць та доріг</w:t>
            </w:r>
            <w:r w:rsidR="005B24D8" w:rsidRPr="005B24D8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="00C50929" w:rsidRPr="005B24D8">
              <w:rPr>
                <w:rFonts w:ascii="Times New Roman" w:hAnsi="Times New Roman" w:cs="Times New Roman"/>
                <w:i/>
                <w:snapToGrid w:val="0"/>
              </w:rPr>
              <w:t xml:space="preserve"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5B24D8" w:rsidRPr="005B24D8">
              <w:rPr>
                <w:rFonts w:ascii="Times New Roman" w:hAnsi="Times New Roman" w:cs="Times New Roman"/>
                <w:i/>
                <w:snapToGrid w:val="0"/>
              </w:rPr>
              <w:t>11</w:t>
            </w:r>
            <w:r w:rsidR="00C50929" w:rsidRPr="005B24D8">
              <w:rPr>
                <w:rFonts w:ascii="Times New Roman" w:hAnsi="Times New Roman" w:cs="Times New Roman"/>
                <w:i/>
                <w:snapToGrid w:val="0"/>
              </w:rPr>
              <w:t>.1</w:t>
            </w:r>
            <w:r w:rsidR="005B24D8" w:rsidRPr="005B24D8">
              <w:rPr>
                <w:rFonts w:ascii="Times New Roman" w:hAnsi="Times New Roman" w:cs="Times New Roman"/>
                <w:i/>
                <w:snapToGrid w:val="0"/>
              </w:rPr>
              <w:t>2</w:t>
            </w:r>
            <w:r w:rsidR="00C50929" w:rsidRPr="005B24D8">
              <w:rPr>
                <w:rFonts w:ascii="Times New Roman" w:hAnsi="Times New Roman" w:cs="Times New Roman"/>
                <w:i/>
                <w:snapToGrid w:val="0"/>
              </w:rPr>
              <w:t>.2023</w:t>
            </w:r>
            <w:r w:rsidR="005B24D8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="005B24D8" w:rsidRPr="005B24D8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="008242C0">
              <w:rPr>
                <w:rFonts w:ascii="Times New Roman" w:hAnsi="Times New Roman" w:cs="Times New Roman"/>
                <w:i/>
                <w:snapToGrid w:val="0"/>
              </w:rPr>
              <w:t xml:space="preserve">               </w:t>
            </w:r>
            <w:r w:rsidR="00C50929" w:rsidRPr="005B24D8">
              <w:rPr>
                <w:rFonts w:ascii="Times New Roman" w:hAnsi="Times New Roman" w:cs="Times New Roman"/>
                <w:i/>
                <w:snapToGrid w:val="0"/>
              </w:rPr>
              <w:t>№ 055-</w:t>
            </w:r>
            <w:r w:rsidR="005B24D8" w:rsidRPr="005B24D8">
              <w:rPr>
                <w:rFonts w:ascii="Times New Roman" w:hAnsi="Times New Roman" w:cs="Times New Roman"/>
                <w:i/>
                <w:snapToGrid w:val="0"/>
              </w:rPr>
              <w:t>10345</w:t>
            </w:r>
            <w:r w:rsidR="00C50929" w:rsidRPr="005B24D8">
              <w:rPr>
                <w:rFonts w:ascii="Times New Roman" w:hAnsi="Times New Roman" w:cs="Times New Roman"/>
                <w:i/>
                <w:snapToGrid w:val="0"/>
              </w:rPr>
              <w:t>).</w:t>
            </w:r>
          </w:p>
          <w:p w14:paraId="6735A708" w14:textId="5D2139E9" w:rsidR="00622A5B" w:rsidRPr="005B24D8" w:rsidRDefault="00622A5B" w:rsidP="00D022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2A5B" w:rsidRPr="0070402C" w14:paraId="4CF74650" w14:textId="77777777" w:rsidTr="001327DF">
        <w:trPr>
          <w:cantSplit/>
          <w:trHeight w:val="2066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7BB1441A" w:rsidR="00622A5B" w:rsidRPr="001F3683" w:rsidRDefault="00622A5B" w:rsidP="00300435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 w:rsidR="00AF3709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</w:t>
            </w:r>
            <w:r w:rsidR="00B31069" w:rsidRPr="005B24D8">
              <w:rPr>
                <w:rFonts w:ascii="Times New Roman" w:hAnsi="Times New Roman" w:cs="Times New Roman"/>
                <w:i/>
                <w:snapToGrid w:val="0"/>
              </w:rPr>
              <w:t xml:space="preserve">належить </w:t>
            </w:r>
            <w:r w:rsidR="00300435">
              <w:rPr>
                <w:rFonts w:ascii="Times New Roman" w:hAnsi="Times New Roman" w:cs="Times New Roman"/>
                <w:i/>
                <w:snapToGrid w:val="0"/>
              </w:rPr>
              <w:t>переважно</w:t>
            </w:r>
            <w:r w:rsidR="00B31069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="00B31069" w:rsidRPr="005B24D8">
              <w:rPr>
                <w:rFonts w:ascii="Times New Roman" w:hAnsi="Times New Roman" w:cs="Times New Roman"/>
                <w:i/>
                <w:snapToGrid w:val="0"/>
              </w:rPr>
              <w:t xml:space="preserve">до </w:t>
            </w:r>
            <w:r w:rsidR="00B31069">
              <w:rPr>
                <w:rFonts w:ascii="Times New Roman" w:hAnsi="Times New Roman" w:cs="Times New Roman"/>
                <w:i/>
                <w:snapToGrid w:val="0"/>
              </w:rPr>
              <w:t xml:space="preserve">промислової </w:t>
            </w:r>
            <w:r w:rsidR="00B31069" w:rsidRPr="005B24D8">
              <w:rPr>
                <w:rFonts w:ascii="Times New Roman" w:hAnsi="Times New Roman" w:cs="Times New Roman"/>
                <w:i/>
                <w:snapToGrid w:val="0"/>
              </w:rPr>
              <w:t xml:space="preserve">території та </w:t>
            </w:r>
            <w:r w:rsidR="00B31069" w:rsidRPr="00D933D7">
              <w:rPr>
                <w:rFonts w:ascii="Times New Roman" w:eastAsia="Times New Roman" w:hAnsi="Times New Roman" w:cs="Times New Roman"/>
                <w:i/>
              </w:rPr>
              <w:t>частково  до</w:t>
            </w:r>
            <w:r w:rsidR="00B31069" w:rsidRPr="005B24D8">
              <w:rPr>
                <w:rFonts w:ascii="Verdana" w:hAnsi="Verdana"/>
                <w:i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B31069" w:rsidRPr="005B24D8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території </w:t>
            </w:r>
            <w:r w:rsidR="00D933D7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вулиць та доріг</w:t>
            </w:r>
            <w:r w:rsidR="00B31069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.</w:t>
            </w:r>
          </w:p>
        </w:tc>
      </w:tr>
      <w:tr w:rsidR="00622A5B" w:rsidRPr="0070402C" w14:paraId="6CE7BF36" w14:textId="77777777" w:rsidTr="001327DF">
        <w:trPr>
          <w:cantSplit/>
          <w:trHeight w:val="970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70402C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D933D7">
        <w:trPr>
          <w:cantSplit/>
          <w:trHeight w:val="282"/>
        </w:trPr>
        <w:tc>
          <w:tcPr>
            <w:tcW w:w="3285" w:type="dxa"/>
            <w:tcBorders>
              <w:bottom w:val="single" w:sz="4" w:space="0" w:color="auto"/>
            </w:tcBorders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2896A65D" w14:textId="77777777" w:rsidR="00AD604C" w:rsidRDefault="0045666D" w:rsidP="0057685E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  <w:p w14:paraId="2B775BCC" w14:textId="32314E53" w:rsidR="009E644B" w:rsidRPr="009E644B" w:rsidRDefault="009E644B" w:rsidP="0057685E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22A5B" w:rsidRPr="0070402C" w14:paraId="5C528814" w14:textId="77777777" w:rsidTr="00BF6587">
        <w:trPr>
          <w:cantSplit/>
          <w:trHeight w:val="1475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305" w14:textId="7BFC089C" w:rsidR="002D23DC" w:rsidRPr="00BF6587" w:rsidRDefault="00D02254" w:rsidP="00BF6587">
            <w:pPr>
              <w:ind w:firstLine="429"/>
              <w:jc w:val="both"/>
              <w:rPr>
                <w:rFonts w:ascii="Times New Roman" w:hAnsi="Times New Roman" w:cs="Times New Roman"/>
                <w:i/>
              </w:rPr>
            </w:pPr>
            <w:r w:rsidRPr="00BF6587">
              <w:rPr>
                <w:rFonts w:ascii="Times New Roman" w:hAnsi="Times New Roman" w:cs="Times New Roman"/>
                <w:i/>
              </w:rPr>
              <w:t>Частина з</w:t>
            </w:r>
            <w:r w:rsidR="002D23DC" w:rsidRPr="00BF6587">
              <w:rPr>
                <w:rFonts w:ascii="Times New Roman" w:hAnsi="Times New Roman" w:cs="Times New Roman"/>
                <w:i/>
              </w:rPr>
              <w:t>емельн</w:t>
            </w:r>
            <w:r w:rsidRPr="00BF6587">
              <w:rPr>
                <w:rFonts w:ascii="Times New Roman" w:hAnsi="Times New Roman" w:cs="Times New Roman"/>
                <w:i/>
              </w:rPr>
              <w:t>ої</w:t>
            </w:r>
            <w:r w:rsidR="002D23DC" w:rsidRPr="00BF6587">
              <w:rPr>
                <w:rFonts w:ascii="Times New Roman" w:hAnsi="Times New Roman" w:cs="Times New Roman"/>
                <w:i/>
              </w:rPr>
              <w:t xml:space="preserve"> ділянк</w:t>
            </w:r>
            <w:r w:rsidRPr="00BF6587">
              <w:rPr>
                <w:rFonts w:ascii="Times New Roman" w:hAnsi="Times New Roman" w:cs="Times New Roman"/>
                <w:i/>
              </w:rPr>
              <w:t>и</w:t>
            </w:r>
            <w:r w:rsidR="002D23DC" w:rsidRPr="00BF6587">
              <w:rPr>
                <w:rFonts w:ascii="Times New Roman" w:hAnsi="Times New Roman" w:cs="Times New Roman"/>
                <w:i/>
              </w:rPr>
              <w:t xml:space="preserve"> розташована в межах червоних ліній.</w:t>
            </w:r>
          </w:p>
          <w:p w14:paraId="2D3755DF" w14:textId="0BC2C880" w:rsidR="002D23DC" w:rsidRPr="00BF6587" w:rsidRDefault="002D23DC" w:rsidP="00BF6587">
            <w:pPr>
              <w:pStyle w:val="a7"/>
              <w:shd w:val="clear" w:color="auto" w:fill="auto"/>
              <w:ind w:firstLine="429"/>
              <w:jc w:val="both"/>
              <w:rPr>
                <w:rFonts w:eastAsia="Courier New"/>
                <w:b w:val="0"/>
                <w:bCs w:val="0"/>
                <w:i/>
                <w:sz w:val="24"/>
                <w:szCs w:val="24"/>
              </w:rPr>
            </w:pP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Земельна ділянка площею 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1,00</w:t>
            </w:r>
            <w:r w:rsidR="00D02254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0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3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га (кадастровий номер 8000000000: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69:264:0002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) на вул. 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Пост-Волинськ</w:t>
            </w:r>
            <w:r w:rsidR="00D02254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ій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, 7</w:t>
            </w:r>
            <w:r w:rsidR="00D933D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літ. А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у Солом’янському 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районі м. Києва на підставі рішення Київської міської ради від 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23.09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.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1999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№ 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27/529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передана</w:t>
            </w:r>
            <w:r w:rsidR="000A217E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в </w:t>
            </w:r>
            <w:r w:rsidR="00D933D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тимчасове довгострокове користування землею</w:t>
            </w:r>
            <w:r w:rsidR="00300435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строком</w:t>
            </w:r>
            <w:r w:rsidR="000A217E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на 24 рок</w:t>
            </w:r>
            <w:r w:rsidR="00D933D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и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відкритому акціонерному товариству «Київелектромонтаж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» 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для експлуатації та обслуговування комплексу будівель і споруд виробничих баз управління виробничо-технічної комплектації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(договір </w:t>
            </w:r>
            <w:r w:rsidR="00C20FE3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тимчасов</w:t>
            </w:r>
            <w:r w:rsidR="00C20FE3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ого</w:t>
            </w:r>
            <w:r w:rsidR="00C20FE3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довгостроков</w:t>
            </w:r>
            <w:r w:rsidR="00C20FE3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ого</w:t>
            </w:r>
            <w:r w:rsidR="00C20FE3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користування землею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від 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17.04.2000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№ </w:t>
            </w:r>
            <w:r w:rsidR="000B290D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69-5-00034</w:t>
            </w:r>
            <w:r w:rsidR="008311D1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,</w:t>
            </w:r>
            <w:r w:rsidR="000A217E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термін дії до 17.04.2024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)</w:t>
            </w:r>
            <w:r w:rsidR="000A217E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.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14:paraId="3EE6288C" w14:textId="0856BA5D" w:rsidR="002D23DC" w:rsidRPr="00BF6587" w:rsidRDefault="008311D1" w:rsidP="00BF6587">
            <w:pPr>
              <w:pStyle w:val="a7"/>
              <w:shd w:val="clear" w:color="auto" w:fill="auto"/>
              <w:ind w:firstLine="429"/>
              <w:jc w:val="both"/>
              <w:rPr>
                <w:rFonts w:eastAsia="Courier New"/>
                <w:b w:val="0"/>
                <w:bCs w:val="0"/>
                <w:i/>
                <w:sz w:val="24"/>
                <w:szCs w:val="24"/>
              </w:rPr>
            </w:pP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Публічним акціонерним товариством</w:t>
            </w:r>
            <w:r w:rsidR="00D933D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300435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«</w:t>
            </w:r>
            <w:r w:rsidR="00D933D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ТРЕСТ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«Київелектромонтаж»</w:t>
            </w:r>
            <w:r w:rsidR="00D933D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, що</w:t>
            </w:r>
            <w:bookmarkStart w:id="0" w:name="_GoBack"/>
            <w:bookmarkEnd w:id="0"/>
            <w:r w:rsidR="00D933D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є правонаступником</w:t>
            </w:r>
            <w:r w:rsidR="00991E98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в</w:t>
            </w:r>
            <w:r w:rsidR="00300435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ідкритого акціонерного товариства </w:t>
            </w:r>
            <w:r w:rsidR="00BF658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«Київелектромонтаж»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надано згоду</w:t>
            </w:r>
            <w:r w:rsidR="00300435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на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BF658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розірвання договору </w:t>
            </w:r>
            <w:r w:rsidR="00D578C9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тимчасового довгострокового користування </w:t>
            </w:r>
            <w:r w:rsidR="004400B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землею</w:t>
            </w:r>
            <w:r w:rsidR="00D578C9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300435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від 17.04.2000 № 69-5-00034 </w:t>
            </w:r>
            <w:r w:rsidR="00BF658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та припинення тимчасового довгострокового користування </w:t>
            </w:r>
            <w:r w:rsidR="004400B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землею</w:t>
            </w:r>
            <w:r w:rsidR="00BF658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BF6587" w:rsidRPr="00C20FE3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кадастровий номер 8000000000:69:264:0002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6C100E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(</w:t>
            </w:r>
            <w:r w:rsidR="00BF658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нотаріально засвідчена </w:t>
            </w:r>
            <w:r w:rsidR="00300435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з</w:t>
            </w:r>
            <w:r w:rsidR="006C100E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аява-згода від 06.12.2019</w:t>
            </w:r>
            <w:r w:rsidR="00B94A4B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,</w:t>
            </w:r>
            <w:r w:rsidR="006C100E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B05F1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зареєстрован</w:t>
            </w:r>
            <w:r w:rsidR="00B94A4B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а</w:t>
            </w:r>
            <w:r w:rsidR="00B05F1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в реєстрі за №1405</w:t>
            </w:r>
            <w:r w:rsidR="006C100E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).</w:t>
            </w:r>
          </w:p>
          <w:p w14:paraId="454ADF3C" w14:textId="7CCC550D" w:rsidR="00D933D7" w:rsidRPr="00BF6587" w:rsidRDefault="006C100E" w:rsidP="00BF6587">
            <w:pPr>
              <w:pStyle w:val="a7"/>
              <w:shd w:val="clear" w:color="auto" w:fill="auto"/>
              <w:ind w:firstLine="429"/>
              <w:jc w:val="both"/>
              <w:rPr>
                <w:rFonts w:eastAsia="Courier New"/>
                <w:b w:val="0"/>
                <w:bCs w:val="0"/>
                <w:i/>
                <w:sz w:val="24"/>
                <w:szCs w:val="24"/>
              </w:rPr>
            </w:pP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Підпунктом 3.</w:t>
            </w:r>
            <w:r w:rsidR="00BF658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9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. пункту 3 проєкту рішення запропоновано з урахуванням існуючої судової практики (постанови Верховного Cуду від 18.06.2020 у справі </w:t>
            </w:r>
            <w:r w:rsidR="00BF658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                </w:t>
            </w: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№ 925/449/19, від 27.01.2021 у справі № 630/269/16, від 10.02.2021 у справі № 200/8930/18) зобов’язати землекористувача сплатити безпідставно збереженні </w:t>
            </w:r>
            <w:r w:rsidR="00D933D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кошти за користування земельною ділянкою з моменту </w:t>
            </w:r>
            <w:r w:rsidR="00C20FE3" w:rsidRPr="00C20FE3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набуття права власності на об’єкти нерухомого майна, розташовані на ній</w:t>
            </w:r>
            <w:r w:rsidR="00C20FE3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,</w:t>
            </w:r>
            <w:r w:rsidR="00C20FE3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D933D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до моменту реєстрації права </w:t>
            </w:r>
            <w:r w:rsidR="00D578C9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оренди земельної ділянки </w:t>
            </w:r>
            <w:r w:rsidR="00D933D7"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у Державному реєстрі речових прав на нерухоме майно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462CA73" w14:textId="77777777" w:rsidR="00D933D7" w:rsidRPr="00BF6587" w:rsidRDefault="00D933D7" w:rsidP="00BF6587">
            <w:pPr>
              <w:pStyle w:val="a7"/>
              <w:shd w:val="clear" w:color="auto" w:fill="auto"/>
              <w:ind w:firstLine="429"/>
              <w:jc w:val="both"/>
              <w:rPr>
                <w:rFonts w:eastAsia="Courier New"/>
                <w:b w:val="0"/>
                <w:bCs w:val="0"/>
                <w:i/>
                <w:sz w:val="24"/>
                <w:szCs w:val="24"/>
              </w:rPr>
            </w:pP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   </w:t>
            </w:r>
          </w:p>
          <w:p w14:paraId="3CFD8CD2" w14:textId="77777777" w:rsidR="00D933D7" w:rsidRPr="00BF6587" w:rsidRDefault="00D933D7" w:rsidP="00BF6587">
            <w:pPr>
              <w:pStyle w:val="a7"/>
              <w:shd w:val="clear" w:color="auto" w:fill="auto"/>
              <w:ind w:firstLine="429"/>
              <w:jc w:val="both"/>
              <w:rPr>
                <w:rFonts w:eastAsia="Courier New"/>
                <w:b w:val="0"/>
                <w:bCs w:val="0"/>
                <w:i/>
                <w:sz w:val="24"/>
                <w:szCs w:val="24"/>
              </w:rPr>
            </w:pP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 826/8107/16, від 16.09.2021 у справі № 826/8847/16. </w:t>
            </w:r>
          </w:p>
          <w:p w14:paraId="4FDC9525" w14:textId="66103578" w:rsidR="006C100E" w:rsidRPr="00BF6587" w:rsidRDefault="00D933D7" w:rsidP="00BF6587">
            <w:pPr>
              <w:pStyle w:val="a7"/>
              <w:shd w:val="clear" w:color="auto" w:fill="auto"/>
              <w:ind w:firstLine="429"/>
              <w:jc w:val="both"/>
              <w:rPr>
                <w:rFonts w:eastAsia="Courier New"/>
                <w:b w:val="0"/>
                <w:bCs w:val="0"/>
                <w:i/>
                <w:sz w:val="24"/>
                <w:szCs w:val="24"/>
              </w:rPr>
            </w:pPr>
            <w:r w:rsidRPr="00BF658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33726BC" w14:textId="77777777" w:rsidR="006C100E" w:rsidRPr="008146F4" w:rsidRDefault="006C100E" w:rsidP="006C100E">
      <w:pPr>
        <w:pStyle w:val="a7"/>
        <w:shd w:val="clear" w:color="auto" w:fill="auto"/>
      </w:pPr>
    </w:p>
    <w:p w14:paraId="15D5AF59" w14:textId="77777777" w:rsidR="006C100E" w:rsidRPr="00CF2418" w:rsidRDefault="006C100E" w:rsidP="006C100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lastRenderedPageBreak/>
        <w:t>6. Стан нормативно-правової бази у даній сфері правового регулювання.</w:t>
      </w:r>
    </w:p>
    <w:p w14:paraId="41B4B3E3" w14:textId="77777777" w:rsidR="006C100E" w:rsidRPr="00F23037" w:rsidRDefault="006C100E" w:rsidP="006C100E">
      <w:pPr>
        <w:pStyle w:val="1"/>
        <w:ind w:firstLine="403"/>
        <w:jc w:val="both"/>
        <w:rPr>
          <w:i w:val="0"/>
          <w:sz w:val="24"/>
          <w:szCs w:val="24"/>
        </w:rPr>
      </w:pPr>
      <w:r w:rsidRPr="00C70F3C">
        <w:rPr>
          <w:i w:val="0"/>
          <w:sz w:val="24"/>
          <w:szCs w:val="24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4C65DB0A" w14:textId="77777777" w:rsidR="006C100E" w:rsidRPr="00F23037" w:rsidRDefault="006C100E" w:rsidP="006C100E">
      <w:pPr>
        <w:pStyle w:val="1"/>
        <w:ind w:firstLine="403"/>
        <w:jc w:val="both"/>
        <w:rPr>
          <w:i w:val="0"/>
          <w:sz w:val="24"/>
          <w:szCs w:val="24"/>
        </w:rPr>
      </w:pPr>
      <w:r w:rsidRPr="00C70F3C">
        <w:rPr>
          <w:i w:val="0"/>
          <w:sz w:val="24"/>
          <w:szCs w:val="24"/>
        </w:rPr>
        <w:t>Проєкт рішення</w:t>
      </w:r>
      <w:r>
        <w:rPr>
          <w:i w:val="0"/>
          <w:sz w:val="24"/>
          <w:szCs w:val="24"/>
        </w:rPr>
        <w:t xml:space="preserve"> не</w:t>
      </w:r>
      <w:r w:rsidRPr="00C70F3C"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7A90E4B9" w14:textId="77777777" w:rsidR="006C100E" w:rsidRDefault="006C100E" w:rsidP="006C100E">
      <w:pPr>
        <w:pStyle w:val="1"/>
        <w:shd w:val="clear" w:color="auto" w:fill="auto"/>
        <w:ind w:firstLine="403"/>
        <w:jc w:val="both"/>
        <w:rPr>
          <w:i w:val="0"/>
          <w:sz w:val="24"/>
          <w:szCs w:val="24"/>
        </w:rPr>
      </w:pPr>
      <w:r w:rsidRPr="00C70F3C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                       не матиме впливу на життєдіяльність цієї категорії.</w:t>
      </w:r>
    </w:p>
    <w:p w14:paraId="52C2BA58" w14:textId="77777777" w:rsidR="006C100E" w:rsidRPr="00CF2418" w:rsidRDefault="006C100E" w:rsidP="006C100E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1373A3D4" w14:textId="77777777" w:rsidR="006C100E" w:rsidRPr="00F23037" w:rsidRDefault="006C100E" w:rsidP="006C100E">
      <w:pPr>
        <w:pStyle w:val="1"/>
        <w:tabs>
          <w:tab w:val="left" w:pos="426"/>
        </w:tabs>
        <w:ind w:firstLine="403"/>
        <w:rPr>
          <w:i w:val="0"/>
          <w:sz w:val="24"/>
          <w:szCs w:val="24"/>
        </w:rPr>
      </w:pPr>
      <w:r w:rsidRPr="00C70F3C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5660B808" w14:textId="5135F378" w:rsidR="006C100E" w:rsidRPr="00F23037" w:rsidRDefault="006C100E" w:rsidP="006C100E">
      <w:pPr>
        <w:pStyle w:val="1"/>
        <w:shd w:val="clear" w:color="auto" w:fill="auto"/>
        <w:tabs>
          <w:tab w:val="left" w:pos="426"/>
          <w:tab w:val="left" w:pos="708"/>
        </w:tabs>
        <w:ind w:firstLine="403"/>
        <w:jc w:val="both"/>
        <w:rPr>
          <w:i w:val="0"/>
          <w:sz w:val="24"/>
          <w:szCs w:val="24"/>
        </w:rPr>
      </w:pPr>
      <w:r w:rsidRPr="00106C6F">
        <w:rPr>
          <w:i w:val="0"/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</w:t>
      </w:r>
      <w:r w:rsidR="00D51BD0" w:rsidRPr="00D51BD0">
        <w:rPr>
          <w:i w:val="0"/>
          <w:sz w:val="24"/>
          <w:szCs w:val="24"/>
        </w:rPr>
        <w:t xml:space="preserve">14.12.2023 № 7531/7572 «Про бюджет міста Києва на 2024 </w:t>
      </w:r>
      <w:r w:rsidRPr="00106C6F">
        <w:rPr>
          <w:i w:val="0"/>
          <w:sz w:val="24"/>
          <w:szCs w:val="24"/>
        </w:rPr>
        <w:t>рік» орієнтовний розмір річної орендної плати складатиме</w:t>
      </w:r>
      <w:r w:rsidRPr="00303F8C">
        <w:rPr>
          <w:i w:val="0"/>
          <w:sz w:val="24"/>
          <w:szCs w:val="24"/>
        </w:rPr>
        <w:t xml:space="preserve">: </w:t>
      </w:r>
      <w:r w:rsidR="00923CF5" w:rsidRPr="00923CF5">
        <w:rPr>
          <w:i w:val="0"/>
          <w:sz w:val="24"/>
          <w:szCs w:val="24"/>
        </w:rPr>
        <w:t>401 463</w:t>
      </w:r>
      <w:r w:rsidR="00923CF5">
        <w:rPr>
          <w:shd w:val="clear" w:color="auto" w:fill="FFFFFF"/>
        </w:rPr>
        <w:t xml:space="preserve"> </w:t>
      </w:r>
      <w:r w:rsidRPr="00303F8C">
        <w:rPr>
          <w:i w:val="0"/>
          <w:sz w:val="24"/>
          <w:szCs w:val="24"/>
        </w:rPr>
        <w:t xml:space="preserve">грн </w:t>
      </w:r>
      <w:r w:rsidR="005205CE">
        <w:rPr>
          <w:i w:val="0"/>
          <w:sz w:val="24"/>
          <w:szCs w:val="24"/>
        </w:rPr>
        <w:t>73</w:t>
      </w:r>
      <w:r w:rsidRPr="00303F8C">
        <w:rPr>
          <w:i w:val="0"/>
          <w:sz w:val="24"/>
          <w:szCs w:val="24"/>
        </w:rPr>
        <w:t xml:space="preserve"> коп. (3 %).</w:t>
      </w:r>
    </w:p>
    <w:p w14:paraId="5780F7B3" w14:textId="77777777" w:rsidR="006C100E" w:rsidRPr="00303F8C" w:rsidRDefault="006C100E" w:rsidP="006C100E">
      <w:pPr>
        <w:pStyle w:val="1"/>
        <w:shd w:val="clear" w:color="auto" w:fill="auto"/>
        <w:spacing w:line="230" w:lineRule="auto"/>
        <w:jc w:val="both"/>
        <w:rPr>
          <w:i w:val="0"/>
          <w:sz w:val="24"/>
          <w:szCs w:val="24"/>
        </w:rPr>
      </w:pPr>
    </w:p>
    <w:p w14:paraId="09AB8458" w14:textId="77777777" w:rsidR="006C100E" w:rsidRPr="00CF2418" w:rsidRDefault="006C100E" w:rsidP="006C100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400D02E" w14:textId="703BFB89" w:rsidR="006C100E" w:rsidRDefault="006C100E" w:rsidP="006C100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>
        <w:rPr>
          <w:i w:val="0"/>
          <w:sz w:val="24"/>
          <w:szCs w:val="24"/>
        </w:rPr>
        <w:t xml:space="preserve">проєкту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 w:rsidR="006218AD">
        <w:rPr>
          <w:i w:val="0"/>
          <w:sz w:val="24"/>
          <w:szCs w:val="24"/>
        </w:rPr>
        <w:t>ув</w:t>
      </w:r>
      <w:r w:rsidRPr="00CF2418">
        <w:rPr>
          <w:i w:val="0"/>
          <w:sz w:val="24"/>
          <w:szCs w:val="24"/>
        </w:rPr>
        <w:t>ання земельно</w:t>
      </w:r>
      <w:r w:rsidR="006218AD"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ділянк</w:t>
      </w:r>
      <w:r w:rsidR="006218AD">
        <w:rPr>
          <w:i w:val="0"/>
          <w:sz w:val="24"/>
          <w:szCs w:val="24"/>
        </w:rPr>
        <w:t>ою</w:t>
      </w:r>
      <w:r>
        <w:rPr>
          <w:i w:val="0"/>
          <w:sz w:val="24"/>
          <w:szCs w:val="24"/>
        </w:rPr>
        <w:t>.</w:t>
      </w:r>
    </w:p>
    <w:p w14:paraId="1154B4CB" w14:textId="77777777" w:rsidR="00D43C78" w:rsidRPr="00CF2418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5B1D62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6C100E">
      <w:headerReference w:type="default" r:id="rId10"/>
      <w:footerReference w:type="default" r:id="rId11"/>
      <w:pgSz w:w="11907" w:h="16839" w:code="9"/>
      <w:pgMar w:top="0" w:right="567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7B4DF" w14:textId="77777777" w:rsidR="0045698A" w:rsidRDefault="0045698A">
      <w:r>
        <w:separator/>
      </w:r>
    </w:p>
  </w:endnote>
  <w:endnote w:type="continuationSeparator" w:id="0">
    <w:p w14:paraId="27C9C215" w14:textId="77777777" w:rsidR="0045698A" w:rsidRDefault="0045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46B6B" w14:textId="77777777" w:rsidR="0045698A" w:rsidRDefault="0045698A"/>
  </w:footnote>
  <w:footnote w:type="continuationSeparator" w:id="0">
    <w:p w14:paraId="2695475B" w14:textId="77777777" w:rsidR="0045698A" w:rsidRDefault="0045698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728046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2B6945EC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5B1D62">
          <w:rPr>
            <w:i w:val="0"/>
            <w:sz w:val="12"/>
            <w:szCs w:val="12"/>
            <w:lang w:val="ru-RU"/>
          </w:rPr>
          <w:t>ПЗН-61221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5B1D62">
          <w:rPr>
            <w:i w:val="0"/>
            <w:sz w:val="12"/>
            <w:szCs w:val="12"/>
            <w:lang w:val="ru-RU"/>
          </w:rPr>
          <w:t>27.12.2023</w:t>
        </w:r>
        <w:r w:rsidR="0070323B" w:rsidRPr="005B1D62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</w:t>
        </w:r>
        <w:r w:rsidR="005B1D62">
          <w:rPr>
            <w:i w:val="0"/>
            <w:sz w:val="12"/>
            <w:szCs w:val="12"/>
          </w:rPr>
          <w:t xml:space="preserve">справи </w:t>
        </w:r>
        <w:r w:rsidR="0070323B" w:rsidRPr="00800A09">
          <w:rPr>
            <w:i w:val="0"/>
            <w:sz w:val="12"/>
            <w:szCs w:val="12"/>
          </w:rPr>
          <w:t>702615441</w:t>
        </w:r>
      </w:p>
      <w:p w14:paraId="3796BF5B" w14:textId="0AB0DA04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D2294" w:rsidRPr="00FD229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D5425"/>
    <w:multiLevelType w:val="hybridMultilevel"/>
    <w:tmpl w:val="45DEC408"/>
    <w:lvl w:ilvl="0" w:tplc="06B2590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217E"/>
    <w:rsid w:val="000A3021"/>
    <w:rsid w:val="000B148D"/>
    <w:rsid w:val="000B290D"/>
    <w:rsid w:val="000B55FA"/>
    <w:rsid w:val="000C5E99"/>
    <w:rsid w:val="000C7B1F"/>
    <w:rsid w:val="000D0A9B"/>
    <w:rsid w:val="000F62A9"/>
    <w:rsid w:val="00100101"/>
    <w:rsid w:val="00111F14"/>
    <w:rsid w:val="00113C7E"/>
    <w:rsid w:val="00125B38"/>
    <w:rsid w:val="001304BB"/>
    <w:rsid w:val="001327DF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1F3683"/>
    <w:rsid w:val="0020085E"/>
    <w:rsid w:val="00212D52"/>
    <w:rsid w:val="0022280E"/>
    <w:rsid w:val="00242CCD"/>
    <w:rsid w:val="00245237"/>
    <w:rsid w:val="0025220F"/>
    <w:rsid w:val="0027157C"/>
    <w:rsid w:val="00283C07"/>
    <w:rsid w:val="002A235E"/>
    <w:rsid w:val="002B136F"/>
    <w:rsid w:val="002B3709"/>
    <w:rsid w:val="002B56C8"/>
    <w:rsid w:val="002D23DC"/>
    <w:rsid w:val="002D306E"/>
    <w:rsid w:val="003001C6"/>
    <w:rsid w:val="00300435"/>
    <w:rsid w:val="0030097A"/>
    <w:rsid w:val="0031178B"/>
    <w:rsid w:val="003138B1"/>
    <w:rsid w:val="00314AB6"/>
    <w:rsid w:val="00315201"/>
    <w:rsid w:val="00316C72"/>
    <w:rsid w:val="003266D5"/>
    <w:rsid w:val="00332AAB"/>
    <w:rsid w:val="00333098"/>
    <w:rsid w:val="00334A85"/>
    <w:rsid w:val="00334E6B"/>
    <w:rsid w:val="00380F6E"/>
    <w:rsid w:val="003B24F7"/>
    <w:rsid w:val="003B3924"/>
    <w:rsid w:val="003C5134"/>
    <w:rsid w:val="003C7F90"/>
    <w:rsid w:val="003D33D8"/>
    <w:rsid w:val="003D77E3"/>
    <w:rsid w:val="003E1B2C"/>
    <w:rsid w:val="003E483E"/>
    <w:rsid w:val="003F2ABE"/>
    <w:rsid w:val="003F7C79"/>
    <w:rsid w:val="004258F0"/>
    <w:rsid w:val="00427C05"/>
    <w:rsid w:val="004400B7"/>
    <w:rsid w:val="00441B38"/>
    <w:rsid w:val="0045563D"/>
    <w:rsid w:val="0045666D"/>
    <w:rsid w:val="0045698A"/>
    <w:rsid w:val="00465AC0"/>
    <w:rsid w:val="00482653"/>
    <w:rsid w:val="00487C09"/>
    <w:rsid w:val="0049118C"/>
    <w:rsid w:val="0049406D"/>
    <w:rsid w:val="004A08AA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15EF6"/>
    <w:rsid w:val="005205CE"/>
    <w:rsid w:val="0053038D"/>
    <w:rsid w:val="0053056F"/>
    <w:rsid w:val="00535A83"/>
    <w:rsid w:val="00535FA2"/>
    <w:rsid w:val="005366B9"/>
    <w:rsid w:val="005372FB"/>
    <w:rsid w:val="00543C2B"/>
    <w:rsid w:val="00543DEA"/>
    <w:rsid w:val="00547FD8"/>
    <w:rsid w:val="005714C6"/>
    <w:rsid w:val="0057685E"/>
    <w:rsid w:val="005B1D62"/>
    <w:rsid w:val="005B24D8"/>
    <w:rsid w:val="0060534B"/>
    <w:rsid w:val="00606026"/>
    <w:rsid w:val="006218AD"/>
    <w:rsid w:val="00622A5B"/>
    <w:rsid w:val="00630FB9"/>
    <w:rsid w:val="006321A8"/>
    <w:rsid w:val="00635E1E"/>
    <w:rsid w:val="00637319"/>
    <w:rsid w:val="00664A3C"/>
    <w:rsid w:val="00670F38"/>
    <w:rsid w:val="006835BE"/>
    <w:rsid w:val="006841B2"/>
    <w:rsid w:val="00692555"/>
    <w:rsid w:val="006941D6"/>
    <w:rsid w:val="006A5E72"/>
    <w:rsid w:val="006B1368"/>
    <w:rsid w:val="006C100E"/>
    <w:rsid w:val="006C63B6"/>
    <w:rsid w:val="0070323B"/>
    <w:rsid w:val="007047E9"/>
    <w:rsid w:val="00711FD8"/>
    <w:rsid w:val="00722855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23F8C"/>
    <w:rsid w:val="008242C0"/>
    <w:rsid w:val="008311D1"/>
    <w:rsid w:val="008524A0"/>
    <w:rsid w:val="00864724"/>
    <w:rsid w:val="00875524"/>
    <w:rsid w:val="008836D9"/>
    <w:rsid w:val="008A319F"/>
    <w:rsid w:val="008A338E"/>
    <w:rsid w:val="008A60AD"/>
    <w:rsid w:val="008B3AE5"/>
    <w:rsid w:val="008C2D4B"/>
    <w:rsid w:val="00923CF5"/>
    <w:rsid w:val="00932BDC"/>
    <w:rsid w:val="00947406"/>
    <w:rsid w:val="00954BCD"/>
    <w:rsid w:val="00985ACE"/>
    <w:rsid w:val="00986FEF"/>
    <w:rsid w:val="00991E98"/>
    <w:rsid w:val="0099634F"/>
    <w:rsid w:val="009A1066"/>
    <w:rsid w:val="009B14F8"/>
    <w:rsid w:val="009B2BE1"/>
    <w:rsid w:val="009E644B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05F17"/>
    <w:rsid w:val="00B17F43"/>
    <w:rsid w:val="00B233C1"/>
    <w:rsid w:val="00B24025"/>
    <w:rsid w:val="00B24D57"/>
    <w:rsid w:val="00B267B4"/>
    <w:rsid w:val="00B31069"/>
    <w:rsid w:val="00B35BA1"/>
    <w:rsid w:val="00B47CF7"/>
    <w:rsid w:val="00B529E2"/>
    <w:rsid w:val="00B565DF"/>
    <w:rsid w:val="00B65018"/>
    <w:rsid w:val="00B75E03"/>
    <w:rsid w:val="00B75EAF"/>
    <w:rsid w:val="00B77DDB"/>
    <w:rsid w:val="00B94A4B"/>
    <w:rsid w:val="00BB5A78"/>
    <w:rsid w:val="00BC5ACD"/>
    <w:rsid w:val="00BF0CF7"/>
    <w:rsid w:val="00BF14CC"/>
    <w:rsid w:val="00BF6587"/>
    <w:rsid w:val="00BF6ECA"/>
    <w:rsid w:val="00C05B7D"/>
    <w:rsid w:val="00C133A7"/>
    <w:rsid w:val="00C15FC3"/>
    <w:rsid w:val="00C20FE3"/>
    <w:rsid w:val="00C36B69"/>
    <w:rsid w:val="00C443DC"/>
    <w:rsid w:val="00C50929"/>
    <w:rsid w:val="00C7476E"/>
    <w:rsid w:val="00C87AA9"/>
    <w:rsid w:val="00C956B5"/>
    <w:rsid w:val="00CA3F0E"/>
    <w:rsid w:val="00CA5A25"/>
    <w:rsid w:val="00CB1336"/>
    <w:rsid w:val="00CC2BB9"/>
    <w:rsid w:val="00CC312F"/>
    <w:rsid w:val="00CE5DDC"/>
    <w:rsid w:val="00CF2164"/>
    <w:rsid w:val="00CF2418"/>
    <w:rsid w:val="00D02254"/>
    <w:rsid w:val="00D05E3B"/>
    <w:rsid w:val="00D07462"/>
    <w:rsid w:val="00D07F02"/>
    <w:rsid w:val="00D2185A"/>
    <w:rsid w:val="00D23E18"/>
    <w:rsid w:val="00D2458C"/>
    <w:rsid w:val="00D40637"/>
    <w:rsid w:val="00D43C78"/>
    <w:rsid w:val="00D46D7C"/>
    <w:rsid w:val="00D51BD0"/>
    <w:rsid w:val="00D578C9"/>
    <w:rsid w:val="00D7478D"/>
    <w:rsid w:val="00D933D7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  <w:rsid w:val="00F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1305-F177-49BD-894B-1DE2ADCA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>Пояснювальна записка Юр особа оренда дозвіл</vt:lpstr>
    </vt:vector>
  </TitlesOfParts>
  <Manager>Управління землеустрою</Manager>
  <Company>ДЕПАРТАМЕНТ ЗЕМЕЛЬНИХ РЕСУРСІВ</Company>
  <LinksUpToDate>false</LinksUpToDate>
  <CharactersWithSpaces>8425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Цибульський Михайло Григорович</cp:lastModifiedBy>
  <cp:revision>132</cp:revision>
  <cp:lastPrinted>2024-01-10T09:50:00Z</cp:lastPrinted>
  <dcterms:created xsi:type="dcterms:W3CDTF">2019-11-25T15:44:00Z</dcterms:created>
  <dcterms:modified xsi:type="dcterms:W3CDTF">2024-01-10T09:59:00Z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2024-01-03T10:24:42Z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d28d6d04-88f1-4c0e-8ad7-bdc828386668</vt:lpwstr>
  </property>
  <property fmtid="{D5CDD505-2E9C-101B-9397-08002B2CF9AE}" pid="8" name="MSIP_Label_defa4170-0d19-0005-0004-bc88714345d2_ContentBits">
    <vt:lpwstr>0</vt:lpwstr>
  </property>
</Properties>
</file>