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41912" w14:textId="77777777" w:rsidR="008A338E" w:rsidRPr="00B26CF9" w:rsidRDefault="00D40637" w:rsidP="00B26CF9">
      <w:pPr>
        <w:pStyle w:val="a4"/>
        <w:shd w:val="clear" w:color="auto" w:fill="auto"/>
        <w:ind w:left="993"/>
        <w:rPr>
          <w:sz w:val="36"/>
          <w:szCs w:val="36"/>
        </w:rPr>
      </w:pPr>
      <w:r w:rsidRPr="00B26CF9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56D2FC4C" wp14:editId="7725CEB1">
                <wp:simplePos x="0" y="0"/>
                <wp:positionH relativeFrom="page">
                  <wp:posOffset>5677535</wp:posOffset>
                </wp:positionH>
                <wp:positionV relativeFrom="paragraph">
                  <wp:posOffset>74930</wp:posOffset>
                </wp:positionV>
                <wp:extent cx="1240155" cy="3619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7DBAC" w14:textId="77777777" w:rsidR="009B1087" w:rsidRPr="00BF610D" w:rsidRDefault="009B1087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F610D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До </w:t>
                            </w:r>
                            <w:r w:rsidRPr="009B1087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F610D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</w:p>
                          <w:p w14:paraId="2FF314E0" w14:textId="77777777" w:rsidR="008A338E" w:rsidRPr="00BF610D" w:rsidRDefault="007B72F8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698900145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2FC4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7.05pt;margin-top:5.9pt;width:97.65pt;height:28.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NbmgEAACQDAAAOAAAAZHJzL2Uyb0RvYy54bWysUsGOEzEMvSPxD1HudKYtXcGo0xVotQgJ&#10;AdIuH5Bmkk6kSRzstDP9e5x02kVwQ1wcx3aen5+zvZ/8IE4GyUFo5XJRS2GChs6FQyt/PD++eScF&#10;JRU6NUAwrTwbkve716+2Y2zMCnoYOoOCQQI1Y2xln1Jsqop0b7yiBUQTOGkBvUp8xUPVoRoZ3Q/V&#10;qq7vqhGwiwjaEHH04ZKUu4JvrdHpm7VkkhhaydxSsVjsPttqt1XNAVXsnZ5pqH9g4ZUL3PQG9aCS&#10;Ekd0f0F5pxEIbFpo8BVY67QpM/A0y/qPaZ56FU2ZhcWheJOJ/h+s/nr6jsJ1rVxLEZTnFZWuYp2l&#10;GSM1XPEUuSZNH2HiFV/jxME88WTR55NnEZxnkc83Yc2UhM6PVm/r5WYjhebc+m75flOUr15eR6T0&#10;yYAX2Wkl8uKKnur0hRIz4dJrSW4W4NENQ45nihcq2UvTfpp576E7M+2Rd9tK+nlUaKQYPgcWL3+E&#10;q4NXZz87F/gPxwTWlc4Z9wI2t+NVFELzt8m7/v1eql4+9+4XAAAA//8DAFBLAwQUAAYACAAAACEA&#10;Jrwv+90AAAAKAQAADwAAAGRycy9kb3ducmV2LnhtbEyPwU7DMBBE70j8g7VI3KgdhKI0xKkqBCck&#10;RJoeODrxNokar0PstuHv2Z7guDNPszPFZnGjOOMcBk8akpUCgdR6O1CnYV+/PWQgQjRkzegJNfxg&#10;gE15e1OY3PoLVXjexU5wCIXcaOhjnHIpQ9ujM2HlJyT2Dn52JvI5d9LO5sLhbpSPSqXSmYH4Q28m&#10;fOmxPe5OTsP2i6rX4fuj+awO1VDXa0Xv6VHr+7tl+wwi4hL/YLjW5+pQcqfGn8gGMWrI1k8Jo2wk&#10;POEKKJZANBrSLANZFvL/hPIXAAD//wMAUEsBAi0AFAAGAAgAAAAhALaDOJL+AAAA4QEAABMAAAAA&#10;AAAAAAAAAAAAAAAAAFtDb250ZW50X1R5cGVzXS54bWxQSwECLQAUAAYACAAAACEAOP0h/9YAAACU&#10;AQAACwAAAAAAAAAAAAAAAAAvAQAAX3JlbHMvLnJlbHNQSwECLQAUAAYACAAAACEAQuIjW5oBAAAk&#10;AwAADgAAAAAAAAAAAAAAAAAuAgAAZHJzL2Uyb0RvYy54bWxQSwECLQAUAAYACAAAACEAJrwv+90A&#10;AAAKAQAADwAAAAAAAAAAAAAAAAD0AwAAZHJzL2Rvd25yZXYueG1sUEsFBgAAAAAEAAQA8wAAAP4E&#10;AAAAAA==&#10;" filled="f" stroked="f">
                <v:textbox inset="0,0,0,0">
                  <w:txbxContent>
                    <w:p w14:paraId="2E37DBAC" w14:textId="77777777" w:rsidR="009B1087" w:rsidRPr="00BF610D" w:rsidRDefault="009B1087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F610D">
                        <w:rPr>
                          <w:bCs/>
                          <w:sz w:val="14"/>
                          <w:szCs w:val="14"/>
                        </w:rPr>
                        <w:t xml:space="preserve">До </w:t>
                      </w:r>
                      <w:r w:rsidRPr="009B1087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F610D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</w:p>
                    <w:p w14:paraId="2FF314E0" w14:textId="77777777" w:rsidR="008A338E" w:rsidRPr="00BF610D" w:rsidRDefault="007B72F8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F61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BF610D">
                        <w:rPr>
                          <w:b/>
                          <w:bCs/>
                          <w:sz w:val="24"/>
                          <w:szCs w:val="24"/>
                        </w:rPr>
                        <w:t>698900145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B26CF9">
        <w:rPr>
          <w:b/>
          <w:bCs/>
          <w:sz w:val="36"/>
          <w:szCs w:val="36"/>
        </w:rPr>
        <w:t>ПОЯСНЮВАЛЬНА ЗАПИСКА</w:t>
      </w:r>
    </w:p>
    <w:p w14:paraId="55927D1D" w14:textId="0D39B53F" w:rsidR="008A338E" w:rsidRPr="00B26CF9" w:rsidRDefault="00D857E8" w:rsidP="00B26CF9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4FA1C1A8" wp14:editId="475FF639">
            <wp:simplePos x="0" y="0"/>
            <wp:positionH relativeFrom="column">
              <wp:posOffset>4766310</wp:posOffset>
            </wp:positionH>
            <wp:positionV relativeFrom="paragraph">
              <wp:posOffset>62230</wp:posOffset>
            </wp:positionV>
            <wp:extent cx="963930" cy="838200"/>
            <wp:effectExtent l="0" t="0" r="7620" b="0"/>
            <wp:wrapSquare wrapText="bothSides"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№ </w:t>
      </w:r>
      <w:r w:rsidR="00BF610D" w:rsidRPr="00BB540D">
        <w:rPr>
          <w:b/>
          <w:bCs/>
          <w:i w:val="0"/>
          <w:iCs w:val="0"/>
          <w:sz w:val="24"/>
          <w:szCs w:val="24"/>
          <w:lang w:val="ru-RU"/>
        </w:rPr>
        <w:t>ПЗН-55184</w:t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 від </w:t>
      </w:r>
      <w:r w:rsidR="00524A88" w:rsidRPr="00BB540D">
        <w:rPr>
          <w:b/>
          <w:bCs/>
          <w:i w:val="0"/>
          <w:sz w:val="24"/>
          <w:szCs w:val="24"/>
          <w:lang w:val="ru-RU"/>
        </w:rPr>
        <w:t>16.06.2023</w:t>
      </w:r>
    </w:p>
    <w:p w14:paraId="6FD69680" w14:textId="506EC811" w:rsidR="00EF6EAC" w:rsidRPr="00EF6EAC" w:rsidRDefault="00B26CF9" w:rsidP="00D256F1">
      <w:pPr>
        <w:pStyle w:val="1"/>
        <w:shd w:val="clear" w:color="auto" w:fill="auto"/>
        <w:ind w:right="1704"/>
        <w:jc w:val="center"/>
        <w:rPr>
          <w:i w:val="0"/>
        </w:rPr>
      </w:pPr>
      <w:r w:rsidRPr="00B26CF9">
        <w:rPr>
          <w:i w:val="0"/>
          <w:iCs w:val="0"/>
          <w:sz w:val="24"/>
          <w:szCs w:val="24"/>
        </w:rPr>
        <w:t xml:space="preserve"> </w:t>
      </w: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BE74D8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ради:</w:t>
      </w:r>
    </w:p>
    <w:p w14:paraId="1658ABF5" w14:textId="4BB1E284" w:rsidR="008A338E" w:rsidRPr="00B26CF9" w:rsidRDefault="007B72F8" w:rsidP="00D40637">
      <w:pPr>
        <w:pStyle w:val="a4"/>
        <w:shd w:val="clear" w:color="auto" w:fill="auto"/>
        <w:spacing w:after="140" w:line="266" w:lineRule="auto"/>
        <w:ind w:right="1648"/>
        <w:jc w:val="center"/>
        <w:rPr>
          <w:b/>
          <w:sz w:val="24"/>
          <w:szCs w:val="24"/>
        </w:rPr>
      </w:pPr>
      <w:r w:rsidRPr="00B26CF9">
        <w:rPr>
          <w:rFonts w:eastAsia="Georgia"/>
          <w:b/>
          <w:i/>
          <w:iCs/>
          <w:sz w:val="24"/>
          <w:szCs w:val="24"/>
        </w:rPr>
        <w:t>Про</w:t>
      </w:r>
      <w:r w:rsidR="00152566" w:rsidRPr="00B26CF9">
        <w:rPr>
          <w:rFonts w:eastAsia="Georgia"/>
          <w:b/>
          <w:i/>
          <w:iCs/>
          <w:sz w:val="24"/>
          <w:szCs w:val="24"/>
        </w:rPr>
        <w:t xml:space="preserve"> </w:t>
      </w:r>
      <w:r w:rsidR="00323D42" w:rsidRPr="00323D42">
        <w:rPr>
          <w:b/>
          <w:i/>
          <w:sz w:val="24"/>
          <w:szCs w:val="24"/>
        </w:rPr>
        <w:t xml:space="preserve">відмову </w:t>
      </w:r>
      <w:r w:rsidR="00323D42" w:rsidRPr="00323D42">
        <w:rPr>
          <w:b/>
          <w:i/>
          <w:sz w:val="24"/>
          <w:szCs w:val="24"/>
          <w:highlight w:val="white"/>
        </w:rPr>
        <w:t>ПРИВАТНОМУ АКЦІОНЕРНОМУ ТОВАРИСТВУ «АТП-1»</w:t>
      </w:r>
      <w:r w:rsidR="00323D42" w:rsidRPr="00323D42">
        <w:rPr>
          <w:b/>
          <w:i/>
          <w:sz w:val="24"/>
          <w:szCs w:val="24"/>
        </w:rPr>
        <w:t xml:space="preserve"> у наданні дозволу на </w:t>
      </w:r>
      <w:r w:rsidR="00323D42" w:rsidRPr="00323D42">
        <w:rPr>
          <w:b/>
          <w:bCs/>
          <w:i/>
          <w:sz w:val="24"/>
          <w:szCs w:val="24"/>
        </w:rPr>
        <w:t xml:space="preserve">розроблення </w:t>
      </w:r>
      <w:proofErr w:type="spellStart"/>
      <w:r w:rsidR="00323D42" w:rsidRPr="00323D42">
        <w:rPr>
          <w:b/>
          <w:i/>
          <w:sz w:val="24"/>
          <w:szCs w:val="24"/>
        </w:rPr>
        <w:t>проєкту</w:t>
      </w:r>
      <w:proofErr w:type="spellEnd"/>
      <w:r w:rsidR="00323D42" w:rsidRPr="00323D42">
        <w:rPr>
          <w:b/>
          <w:i/>
          <w:sz w:val="24"/>
          <w:szCs w:val="24"/>
        </w:rPr>
        <w:t xml:space="preserve"> землеустрою щодо відведення земельної ділянки в оренду для розміщення та експлуатації  будівель і споруд автомобільного транспорту та дорожнього господарства на вул. Промисловій, 1 у Голосіївському районі міста</w:t>
      </w:r>
      <w:r w:rsidR="006B3AD8" w:rsidRPr="00323D42">
        <w:rPr>
          <w:rFonts w:eastAsia="Georgia"/>
          <w:b/>
          <w:i/>
          <w:iCs/>
          <w:sz w:val="24"/>
          <w:szCs w:val="24"/>
        </w:rPr>
        <w:t xml:space="preserve"> </w:t>
      </w:r>
      <w:r w:rsidR="006B3AD8">
        <w:rPr>
          <w:rFonts w:eastAsia="Georgia"/>
          <w:b/>
          <w:i/>
          <w:iCs/>
          <w:sz w:val="24"/>
          <w:szCs w:val="24"/>
        </w:rPr>
        <w:t>м.</w:t>
      </w:r>
      <w:r w:rsidRPr="00B26CF9">
        <w:rPr>
          <w:rFonts w:eastAsia="Georgia"/>
          <w:b/>
          <w:i/>
          <w:iCs/>
          <w:sz w:val="24"/>
          <w:szCs w:val="24"/>
        </w:rPr>
        <w:t xml:space="preserve"> Києва</w:t>
      </w:r>
    </w:p>
    <w:p w14:paraId="62C9886E" w14:textId="77777777" w:rsidR="00E94376" w:rsidRPr="00936CCA" w:rsidRDefault="007B72F8" w:rsidP="003E42B4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936CCA">
        <w:rPr>
          <w:sz w:val="24"/>
          <w:szCs w:val="24"/>
        </w:rPr>
        <w:t>Юридична особа:</w:t>
      </w:r>
    </w:p>
    <w:tbl>
      <w:tblPr>
        <w:tblStyle w:val="a8"/>
        <w:tblW w:w="9543" w:type="dxa"/>
        <w:tblInd w:w="137" w:type="dxa"/>
        <w:tblLook w:val="04A0" w:firstRow="1" w:lastRow="0" w:firstColumn="1" w:lastColumn="0" w:noHBand="0" w:noVBand="1"/>
      </w:tblPr>
      <w:tblGrid>
        <w:gridCol w:w="2544"/>
        <w:gridCol w:w="6999"/>
      </w:tblGrid>
      <w:tr w:rsidR="00E94376" w:rsidRPr="00E14097" w14:paraId="1DB9A02B" w14:textId="77777777" w:rsidTr="00323D42">
        <w:trPr>
          <w:cantSplit/>
          <w:trHeight w:val="281"/>
        </w:trPr>
        <w:tc>
          <w:tcPr>
            <w:tcW w:w="2544" w:type="dxa"/>
          </w:tcPr>
          <w:p w14:paraId="6883C72A" w14:textId="4C16CBE9" w:rsidR="00E94376" w:rsidRPr="00E14097" w:rsidRDefault="00EE4070" w:rsidP="003E42B4">
            <w:pPr>
              <w:pStyle w:val="a7"/>
              <w:shd w:val="clear" w:color="auto" w:fill="auto"/>
              <w:ind w:right="-152"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Назва</w:t>
            </w:r>
            <w:r w:rsidR="00E94376" w:rsidRPr="00E14097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999" w:type="dxa"/>
          </w:tcPr>
          <w:p w14:paraId="21446BB5" w14:textId="77777777" w:rsidR="00E94376" w:rsidRDefault="00323D42" w:rsidP="00323D42">
            <w:pPr>
              <w:pStyle w:val="a7"/>
              <w:shd w:val="clear" w:color="auto" w:fill="auto"/>
              <w:ind w:right="-30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ПРИВАТНЕ</w:t>
            </w:r>
            <w:r w:rsidR="00E94376" w:rsidRPr="00F25023">
              <w:rPr>
                <w:b w:val="0"/>
                <w:i/>
                <w:sz w:val="24"/>
                <w:szCs w:val="24"/>
              </w:rPr>
              <w:t xml:space="preserve"> АКЦІОНЕРНЕ ТОВАРИСТВО «АТП-1»</w:t>
            </w:r>
            <w:r>
              <w:rPr>
                <w:b w:val="0"/>
                <w:i/>
                <w:sz w:val="24"/>
                <w:szCs w:val="24"/>
              </w:rPr>
              <w:t xml:space="preserve">     </w:t>
            </w:r>
          </w:p>
          <w:p w14:paraId="227C82FB" w14:textId="3AF34254" w:rsidR="00323D42" w:rsidRPr="00F25023" w:rsidRDefault="00323D42" w:rsidP="00323D42">
            <w:pPr>
              <w:pStyle w:val="a7"/>
              <w:shd w:val="clear" w:color="auto" w:fill="auto"/>
              <w:ind w:right="-307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E14097" w14:paraId="7678719B" w14:textId="77777777" w:rsidTr="00323D42">
        <w:trPr>
          <w:cantSplit/>
          <w:trHeight w:val="1127"/>
        </w:trPr>
        <w:tc>
          <w:tcPr>
            <w:tcW w:w="2544" w:type="dxa"/>
          </w:tcPr>
          <w:p w14:paraId="754241F2" w14:textId="21997C66" w:rsidR="00E94376" w:rsidRPr="00E1409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Перелік засновників</w:t>
            </w:r>
          </w:p>
          <w:p w14:paraId="064DD62B" w14:textId="77777777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(учасників) юридичної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46F9E318" w14:textId="731DEB43" w:rsidR="007812BA" w:rsidRPr="001D56A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особи</w:t>
            </w:r>
            <w:r w:rsidR="00E94376" w:rsidRPr="00E14097">
              <w:rPr>
                <w:b w:val="0"/>
              </w:rPr>
              <w:t>*</w:t>
            </w:r>
          </w:p>
        </w:tc>
        <w:tc>
          <w:tcPr>
            <w:tcW w:w="6999" w:type="dxa"/>
          </w:tcPr>
          <w:p w14:paraId="7B89F492" w14:textId="682D1954" w:rsidR="00E94376" w:rsidRPr="00D952A9" w:rsidRDefault="00D952A9" w:rsidP="00F2502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952A9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>ЗАГАЛЬНА КІЛЬКІСТЬ АКЦІОНЕРІВ ЗГІДНО З РЕЄСТРОМ АКЦІОНЕРІВ</w:t>
            </w:r>
          </w:p>
        </w:tc>
      </w:tr>
      <w:tr w:rsidR="00E94376" w:rsidRPr="00E14097" w14:paraId="160B57BC" w14:textId="77777777" w:rsidTr="00B21F00">
        <w:trPr>
          <w:cantSplit/>
          <w:trHeight w:val="753"/>
        </w:trPr>
        <w:tc>
          <w:tcPr>
            <w:tcW w:w="2544" w:type="dxa"/>
          </w:tcPr>
          <w:p w14:paraId="464C3684" w14:textId="77777777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Кінцевий 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  <w:p w14:paraId="6DA25C27" w14:textId="74D446C2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E94376" w:rsidRPr="00E14097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E14097">
              <w:rPr>
                <w:b w:val="0"/>
                <w:sz w:val="24"/>
                <w:szCs w:val="24"/>
              </w:rPr>
              <w:t xml:space="preserve"> власник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8087126" w14:textId="08B62DE5" w:rsidR="00E94376" w:rsidRPr="001D56A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(контролер)</w:t>
            </w:r>
            <w:r w:rsidR="00E94376" w:rsidRPr="00E14097">
              <w:rPr>
                <w:b w:val="0"/>
              </w:rPr>
              <w:t>*</w:t>
            </w:r>
          </w:p>
        </w:tc>
        <w:tc>
          <w:tcPr>
            <w:tcW w:w="6999" w:type="dxa"/>
          </w:tcPr>
          <w:p w14:paraId="16E97A73" w14:textId="08F4E0B4" w:rsidR="00E94376" w:rsidRPr="00906C73" w:rsidRDefault="00906C73" w:rsidP="00F2502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06C73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E94376" w:rsidRPr="00E14097" w14:paraId="416146B3" w14:textId="77777777" w:rsidTr="00323D42">
        <w:trPr>
          <w:cantSplit/>
          <w:trHeight w:val="233"/>
        </w:trPr>
        <w:tc>
          <w:tcPr>
            <w:tcW w:w="2544" w:type="dxa"/>
          </w:tcPr>
          <w:p w14:paraId="4C31857D" w14:textId="0EAB7465" w:rsidR="00E94376" w:rsidRPr="00E14097" w:rsidRDefault="00EE4070" w:rsidP="003E42B4">
            <w:pPr>
              <w:pStyle w:val="a7"/>
              <w:shd w:val="clear" w:color="auto" w:fill="auto"/>
              <w:ind w:left="-135" w:firstLine="2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999" w:type="dxa"/>
          </w:tcPr>
          <w:p w14:paraId="22DADD1C" w14:textId="2B1C3BD7" w:rsidR="00E94376" w:rsidRPr="00F25023" w:rsidRDefault="00E94376" w:rsidP="00F25023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F25023">
              <w:rPr>
                <w:i/>
                <w:sz w:val="24"/>
                <w:szCs w:val="24"/>
              </w:rPr>
              <w:t xml:space="preserve">від </w:t>
            </w:r>
            <w:r w:rsidR="000D22AE" w:rsidRPr="00F25023">
              <w:rPr>
                <w:i/>
                <w:sz w:val="24"/>
                <w:szCs w:val="24"/>
              </w:rPr>
              <w:t xml:space="preserve">08.06.2023 </w:t>
            </w:r>
            <w:r w:rsidR="00C245A6" w:rsidRPr="00F25023">
              <w:rPr>
                <w:bCs/>
                <w:i/>
                <w:sz w:val="24"/>
                <w:szCs w:val="24"/>
              </w:rPr>
              <w:t>№ 698900145</w:t>
            </w:r>
          </w:p>
        </w:tc>
      </w:tr>
    </w:tbl>
    <w:p w14:paraId="4BE21E76" w14:textId="4133EC22" w:rsidR="00E94376" w:rsidRDefault="001D56A7" w:rsidP="001D56A7">
      <w:pPr>
        <w:pStyle w:val="a7"/>
        <w:shd w:val="clear" w:color="auto" w:fill="auto"/>
        <w:ind w:left="704" w:hanging="704"/>
        <w:rPr>
          <w:b w:val="0"/>
        </w:rPr>
      </w:pPr>
      <w:r w:rsidRPr="00E14097">
        <w:rPr>
          <w:b w:val="0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7FF6B48E" w14:textId="77777777" w:rsidR="001D56A7" w:rsidRPr="00E14097" w:rsidRDefault="001D56A7" w:rsidP="00E94376">
      <w:pPr>
        <w:pStyle w:val="a7"/>
        <w:shd w:val="clear" w:color="auto" w:fill="auto"/>
        <w:ind w:left="704"/>
        <w:rPr>
          <w:sz w:val="24"/>
          <w:szCs w:val="24"/>
        </w:rPr>
      </w:pPr>
    </w:p>
    <w:p w14:paraId="670765EE" w14:textId="77777777" w:rsidR="008A338E" w:rsidRPr="00E14097" w:rsidRDefault="008A338E">
      <w:pPr>
        <w:spacing w:line="1" w:lineRule="exact"/>
        <w:rPr>
          <w:rFonts w:ascii="Times New Roman" w:hAnsi="Times New Roman" w:cs="Times New Roman"/>
        </w:rPr>
      </w:pPr>
    </w:p>
    <w:p w14:paraId="21DE3BAC" w14:textId="333D04A6" w:rsidR="008A338E" w:rsidRPr="00E14097" w:rsidRDefault="007B72F8" w:rsidP="003E42B4">
      <w:pPr>
        <w:pStyle w:val="a7"/>
        <w:shd w:val="clear" w:color="auto" w:fill="auto"/>
        <w:ind w:left="353" w:firstLine="73"/>
        <w:rPr>
          <w:sz w:val="24"/>
          <w:szCs w:val="24"/>
        </w:rPr>
      </w:pPr>
      <w:r w:rsidRPr="00E14097">
        <w:rPr>
          <w:sz w:val="24"/>
          <w:szCs w:val="24"/>
        </w:rPr>
        <w:t xml:space="preserve">2. Відомості про земельну ділянку (кадастровий № </w:t>
      </w:r>
      <w:r w:rsidR="0027157C" w:rsidRPr="00E14097">
        <w:rPr>
          <w:sz w:val="24"/>
          <w:szCs w:val="24"/>
        </w:rPr>
        <w:t>90:115:0739</w:t>
      </w:r>
      <w:r w:rsidRPr="00E14097">
        <w:rPr>
          <w:sz w:val="24"/>
          <w:szCs w:val="24"/>
        </w:rPr>
        <w:t>)</w:t>
      </w:r>
      <w:r w:rsidR="00A75FBE">
        <w:rPr>
          <w:sz w:val="24"/>
          <w:szCs w:val="24"/>
        </w:rPr>
        <w:t>.</w:t>
      </w:r>
    </w:p>
    <w:tbl>
      <w:tblPr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7144"/>
      </w:tblGrid>
      <w:tr w:rsidR="008A338E" w:rsidRPr="00E14097" w14:paraId="3BF60F57" w14:textId="77777777" w:rsidTr="00645041">
        <w:trPr>
          <w:trHeight w:val="537"/>
        </w:trPr>
        <w:tc>
          <w:tcPr>
            <w:tcW w:w="2524" w:type="dxa"/>
            <w:shd w:val="clear" w:color="auto" w:fill="FFFFFF"/>
          </w:tcPr>
          <w:p w14:paraId="1C20B671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</w:p>
          <w:p w14:paraId="65A3F1A6" w14:textId="2E03D8CE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18"/>
                <w:szCs w:val="18"/>
              </w:rPr>
              <w:t>(адреса)</w:t>
            </w:r>
          </w:p>
        </w:tc>
        <w:tc>
          <w:tcPr>
            <w:tcW w:w="7144" w:type="dxa"/>
            <w:shd w:val="clear" w:color="auto" w:fill="FFFFFF"/>
          </w:tcPr>
          <w:p w14:paraId="5D7A6809" w14:textId="77777777" w:rsidR="008A338E" w:rsidRPr="00F25023" w:rsidRDefault="007B72F8" w:rsidP="00F25023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F25023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F25023">
              <w:rPr>
                <w:i/>
                <w:iCs/>
                <w:sz w:val="24"/>
                <w:szCs w:val="24"/>
              </w:rPr>
              <w:t>Голосіївський</w:t>
            </w:r>
            <w:r w:rsidRPr="00F25023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F25023">
              <w:rPr>
                <w:i/>
                <w:iCs/>
                <w:sz w:val="24"/>
                <w:szCs w:val="24"/>
              </w:rPr>
              <w:t>вул. Промислова, 1</w:t>
            </w:r>
          </w:p>
        </w:tc>
      </w:tr>
      <w:tr w:rsidR="008A338E" w:rsidRPr="00E14097" w14:paraId="70B999E4" w14:textId="77777777" w:rsidTr="00645041">
        <w:trPr>
          <w:trHeight w:val="302"/>
        </w:trPr>
        <w:tc>
          <w:tcPr>
            <w:tcW w:w="2524" w:type="dxa"/>
            <w:shd w:val="clear" w:color="auto" w:fill="FFFFFF"/>
          </w:tcPr>
          <w:p w14:paraId="69B74FEC" w14:textId="64A122D0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>Площа</w:t>
            </w:r>
          </w:p>
        </w:tc>
        <w:tc>
          <w:tcPr>
            <w:tcW w:w="7144" w:type="dxa"/>
            <w:shd w:val="clear" w:color="auto" w:fill="FFFFFF"/>
          </w:tcPr>
          <w:p w14:paraId="38821057" w14:textId="77777777" w:rsidR="008A338E" w:rsidRPr="00F25023" w:rsidRDefault="0027157C" w:rsidP="00F25023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F25023">
              <w:rPr>
                <w:i/>
                <w:iCs/>
                <w:sz w:val="24"/>
                <w:szCs w:val="24"/>
              </w:rPr>
              <w:t>0,8000</w:t>
            </w:r>
            <w:r w:rsidR="007B72F8" w:rsidRPr="00F25023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E14097" w14:paraId="7850D78D" w14:textId="77777777" w:rsidTr="00645041">
        <w:trPr>
          <w:trHeight w:val="604"/>
        </w:trPr>
        <w:tc>
          <w:tcPr>
            <w:tcW w:w="2524" w:type="dxa"/>
            <w:shd w:val="clear" w:color="auto" w:fill="FFFFFF"/>
            <w:vAlign w:val="bottom"/>
          </w:tcPr>
          <w:p w14:paraId="7C6703AB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</w:p>
          <w:p w14:paraId="1B51BA30" w14:textId="1704B77A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>користування</w:t>
            </w:r>
          </w:p>
        </w:tc>
        <w:tc>
          <w:tcPr>
            <w:tcW w:w="7144" w:type="dxa"/>
            <w:shd w:val="clear" w:color="auto" w:fill="FFFFFF"/>
            <w:vAlign w:val="bottom"/>
          </w:tcPr>
          <w:p w14:paraId="4BBEB5FD" w14:textId="77777777" w:rsidR="008A338E" w:rsidRDefault="009648AB" w:rsidP="00F25023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F25023">
              <w:rPr>
                <w:i/>
                <w:sz w:val="24"/>
                <w:szCs w:val="24"/>
              </w:rPr>
              <w:t>оренда</w:t>
            </w:r>
          </w:p>
          <w:p w14:paraId="29608EBE" w14:textId="3945F46C" w:rsidR="003E42B4" w:rsidRPr="00F25023" w:rsidRDefault="003E42B4" w:rsidP="00F25023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B1236A" w:rsidRPr="00E14097" w14:paraId="473F8853" w14:textId="77777777" w:rsidTr="003E42B4">
        <w:trPr>
          <w:trHeight w:val="443"/>
        </w:trPr>
        <w:tc>
          <w:tcPr>
            <w:tcW w:w="2524" w:type="dxa"/>
            <w:shd w:val="clear" w:color="auto" w:fill="FFFFFF"/>
            <w:vAlign w:val="bottom"/>
          </w:tcPr>
          <w:p w14:paraId="1FC509AA" w14:textId="4A9299A1" w:rsidR="003E42B4" w:rsidRPr="00E14097" w:rsidRDefault="00906C7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Заявлене цільове призначення</w:t>
            </w:r>
            <w:r w:rsidRPr="00E140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44" w:type="dxa"/>
            <w:shd w:val="clear" w:color="auto" w:fill="FFFFFF"/>
            <w:vAlign w:val="bottom"/>
          </w:tcPr>
          <w:p w14:paraId="21822537" w14:textId="56B61FD0" w:rsidR="00B1236A" w:rsidRPr="00BB540D" w:rsidRDefault="00573F19" w:rsidP="00F25023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1236A" w:rsidRPr="00BB540D">
              <w:rPr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="00B1236A" w:rsidRPr="00BB540D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1236A" w:rsidRPr="00BB540D">
              <w:rPr>
                <w:i/>
                <w:sz w:val="24"/>
                <w:szCs w:val="24"/>
                <w:lang w:val="ru-RU"/>
              </w:rPr>
              <w:t>споруд</w:t>
            </w:r>
            <w:proofErr w:type="spellEnd"/>
            <w:r w:rsidR="00B1236A" w:rsidRPr="00BB540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1236A" w:rsidRPr="00BB540D">
              <w:rPr>
                <w:i/>
                <w:sz w:val="24"/>
                <w:szCs w:val="24"/>
                <w:lang w:val="ru-RU"/>
              </w:rPr>
              <w:t>автомобільного</w:t>
            </w:r>
            <w:proofErr w:type="spellEnd"/>
            <w:r w:rsidR="00B1236A" w:rsidRPr="00BB540D">
              <w:rPr>
                <w:i/>
                <w:sz w:val="24"/>
                <w:szCs w:val="24"/>
                <w:lang w:val="ru-RU"/>
              </w:rPr>
              <w:t xml:space="preserve"> транспорту та </w:t>
            </w:r>
            <w:proofErr w:type="spellStart"/>
            <w:r w:rsidR="00B1236A" w:rsidRPr="00BB540D">
              <w:rPr>
                <w:i/>
                <w:sz w:val="24"/>
                <w:szCs w:val="24"/>
                <w:lang w:val="ru-RU"/>
              </w:rPr>
              <w:t>дорожнього</w:t>
            </w:r>
            <w:proofErr w:type="spellEnd"/>
            <w:r w:rsidR="00B1236A" w:rsidRPr="00BB540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1236A" w:rsidRPr="00BB540D">
              <w:rPr>
                <w:i/>
                <w:sz w:val="24"/>
                <w:szCs w:val="24"/>
                <w:lang w:val="ru-RU"/>
              </w:rPr>
              <w:t>господарства</w:t>
            </w:r>
            <w:proofErr w:type="spellEnd"/>
          </w:p>
          <w:p w14:paraId="65108EB4" w14:textId="64DA3077" w:rsidR="003E42B4" w:rsidRPr="00F25023" w:rsidRDefault="003E42B4" w:rsidP="00F25023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59FFEBA" w14:textId="667CDDD5" w:rsidR="008A338E" w:rsidRPr="00B1236A" w:rsidRDefault="008A338E">
      <w:pPr>
        <w:pStyle w:val="1"/>
        <w:shd w:val="clear" w:color="auto" w:fill="auto"/>
        <w:tabs>
          <w:tab w:val="left" w:pos="2134"/>
        </w:tabs>
        <w:spacing w:after="100" w:line="187" w:lineRule="auto"/>
        <w:jc w:val="both"/>
        <w:rPr>
          <w:sz w:val="24"/>
          <w:szCs w:val="24"/>
          <w:lang w:val="ru-RU"/>
        </w:rPr>
      </w:pPr>
    </w:p>
    <w:p w14:paraId="1130B435" w14:textId="6A1193E0" w:rsidR="008A338E" w:rsidRPr="00E14097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E14097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306CBB">
        <w:rPr>
          <w:b/>
          <w:bCs/>
          <w:i w:val="0"/>
          <w:iCs w:val="0"/>
          <w:sz w:val="24"/>
          <w:szCs w:val="24"/>
        </w:rPr>
        <w:t>.</w:t>
      </w:r>
    </w:p>
    <w:p w14:paraId="2D309F2F" w14:textId="35F44814" w:rsidR="003B0168" w:rsidRDefault="003B0168" w:rsidP="003B0168">
      <w:pPr>
        <w:spacing w:after="80"/>
        <w:ind w:firstLine="420"/>
        <w:jc w:val="both"/>
        <w:rPr>
          <w:rFonts w:ascii="Times New Roman" w:eastAsia="Times New Roman" w:hAnsi="Times New Roman" w:cs="Times New Roman"/>
        </w:rPr>
      </w:pPr>
      <w:r w:rsidRPr="003B0168">
        <w:rPr>
          <w:rFonts w:ascii="Times New Roman" w:eastAsia="Times New Roman" w:hAnsi="Times New Roman" w:cs="Times New Roman"/>
        </w:rPr>
        <w:t xml:space="preserve">На клопотання зацікавленої особи відповідно до статей </w:t>
      </w:r>
      <w:r w:rsidR="0040701F">
        <w:rPr>
          <w:rFonts w:ascii="Times New Roman" w:eastAsia="Times New Roman" w:hAnsi="Times New Roman" w:cs="Times New Roman"/>
        </w:rPr>
        <w:t>9, 123</w:t>
      </w:r>
      <w:r>
        <w:rPr>
          <w:rFonts w:ascii="Times New Roman" w:eastAsia="Times New Roman" w:hAnsi="Times New Roman" w:cs="Times New Roman"/>
        </w:rPr>
        <w:t>, 134</w:t>
      </w:r>
      <w:r w:rsidRPr="00330D3A">
        <w:rPr>
          <w:rFonts w:ascii="Times New Roman" w:eastAsia="Times New Roman" w:hAnsi="Times New Roman" w:cs="Times New Roman"/>
        </w:rPr>
        <w:t xml:space="preserve"> </w:t>
      </w:r>
      <w:r w:rsidRPr="003B0168">
        <w:rPr>
          <w:rFonts w:ascii="Times New Roman" w:eastAsia="Times New Roman" w:hAnsi="Times New Roman" w:cs="Times New Roman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3B0168">
        <w:rPr>
          <w:rFonts w:ascii="Times New Roman" w:eastAsia="Times New Roman" w:hAnsi="Times New Roman" w:cs="Times New Roman"/>
        </w:rPr>
        <w:t>проєкт</w:t>
      </w:r>
      <w:proofErr w:type="spellEnd"/>
      <w:r w:rsidRPr="003B0168">
        <w:rPr>
          <w:rFonts w:ascii="Times New Roman" w:eastAsia="Times New Roman" w:hAnsi="Times New Roman" w:cs="Times New Roman"/>
        </w:rPr>
        <w:t xml:space="preserve"> рішення Київської міської ради.</w:t>
      </w:r>
    </w:p>
    <w:p w14:paraId="777DECA5" w14:textId="77777777" w:rsidR="007E40D3" w:rsidRPr="003B0168" w:rsidRDefault="007E40D3" w:rsidP="003B0168">
      <w:pPr>
        <w:spacing w:after="80"/>
        <w:ind w:firstLine="420"/>
        <w:jc w:val="both"/>
        <w:rPr>
          <w:rFonts w:ascii="Times New Roman" w:eastAsia="Times New Roman" w:hAnsi="Times New Roman" w:cs="Times New Roman"/>
        </w:rPr>
      </w:pPr>
    </w:p>
    <w:p w14:paraId="257EBE7B" w14:textId="77777777" w:rsidR="00823CCF" w:rsidRPr="007566A0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4. Мета прийняття рішення.</w:t>
      </w:r>
    </w:p>
    <w:p w14:paraId="29F7438A" w14:textId="77777777" w:rsidR="00AD7284" w:rsidRPr="00AD7284" w:rsidRDefault="00AD7284" w:rsidP="00AD7284">
      <w:pPr>
        <w:shd w:val="clear" w:color="auto" w:fill="FFFFFF"/>
        <w:spacing w:line="233" w:lineRule="auto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AD7284">
        <w:rPr>
          <w:rFonts w:ascii="Times New Roman" w:eastAsia="Times New Roman" w:hAnsi="Times New Roman" w:cs="Times New Roman"/>
          <w:color w:val="auto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3CA84EB8" w14:textId="548A82AB" w:rsidR="007E40D3" w:rsidRPr="00E14097" w:rsidRDefault="007E40D3" w:rsidP="00B21F00">
      <w:pPr>
        <w:pStyle w:val="1"/>
        <w:shd w:val="clear" w:color="auto" w:fill="auto"/>
        <w:jc w:val="both"/>
        <w:rPr>
          <w:sz w:val="24"/>
          <w:szCs w:val="24"/>
        </w:rPr>
      </w:pPr>
    </w:p>
    <w:p w14:paraId="6B7F404F" w14:textId="77777777" w:rsidR="00823CCF" w:rsidRPr="00E14097" w:rsidRDefault="00823CCF" w:rsidP="002F12D1">
      <w:pPr>
        <w:pStyle w:val="a7"/>
        <w:shd w:val="clear" w:color="auto" w:fill="auto"/>
        <w:ind w:left="426"/>
        <w:rPr>
          <w:sz w:val="24"/>
          <w:szCs w:val="24"/>
        </w:rPr>
      </w:pPr>
      <w:r w:rsidRPr="00E14097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696"/>
        <w:gridCol w:w="6943"/>
      </w:tblGrid>
      <w:tr w:rsidR="00573F19" w:rsidRPr="00E14097" w14:paraId="4DB64BA9" w14:textId="77777777" w:rsidTr="003E42B4">
        <w:trPr>
          <w:cantSplit/>
          <w:trHeight w:val="560"/>
        </w:trPr>
        <w:tc>
          <w:tcPr>
            <w:tcW w:w="2696" w:type="dxa"/>
          </w:tcPr>
          <w:p w14:paraId="6831FE2D" w14:textId="77777777" w:rsidR="00573F19" w:rsidRDefault="00573F19" w:rsidP="00573F19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BD2F5A3" w14:textId="60F0E24E" w:rsidR="00573F19" w:rsidRPr="00E14097" w:rsidRDefault="00573F19" w:rsidP="00573F19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943" w:type="dxa"/>
          </w:tcPr>
          <w:p w14:paraId="37262716" w14:textId="0FA8CCD2" w:rsidR="00573F19" w:rsidRPr="00FF132A" w:rsidRDefault="00573F19" w:rsidP="00573F19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FF132A">
              <w:rPr>
                <w:b w:val="0"/>
                <w:i/>
                <w:iCs/>
                <w:sz w:val="24"/>
                <w:szCs w:val="24"/>
              </w:rPr>
              <w:t xml:space="preserve">Земельна ділянка вільна від капітальної забудови. </w:t>
            </w:r>
          </w:p>
        </w:tc>
      </w:tr>
      <w:tr w:rsidR="00573F19" w:rsidRPr="00E14097" w14:paraId="01E099C6" w14:textId="77777777" w:rsidTr="003E42B4">
        <w:trPr>
          <w:cantSplit/>
          <w:trHeight w:val="295"/>
        </w:trPr>
        <w:tc>
          <w:tcPr>
            <w:tcW w:w="2696" w:type="dxa"/>
          </w:tcPr>
          <w:p w14:paraId="658175F9" w14:textId="1426C200" w:rsidR="00573F19" w:rsidRPr="00E14097" w:rsidRDefault="00573F19" w:rsidP="00573F19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943" w:type="dxa"/>
          </w:tcPr>
          <w:p w14:paraId="3297BAA8" w14:textId="67E9D1D8" w:rsidR="00573F19" w:rsidRPr="00FF132A" w:rsidRDefault="00FF132A" w:rsidP="00573F19">
            <w:pPr>
              <w:pStyle w:val="a7"/>
              <w:shd w:val="clear" w:color="auto" w:fill="auto"/>
              <w:tabs>
                <w:tab w:val="left" w:pos="5760"/>
              </w:tabs>
              <w:jc w:val="both"/>
              <w:rPr>
                <w:b w:val="0"/>
                <w:sz w:val="24"/>
                <w:szCs w:val="24"/>
              </w:rPr>
            </w:pPr>
            <w:r w:rsidRPr="00EA4A0F">
              <w:rPr>
                <w:b w:val="0"/>
                <w:i/>
                <w:color w:val="auto"/>
                <w:sz w:val="24"/>
                <w:szCs w:val="24"/>
              </w:rPr>
              <w:t>Детальний план території відсутній</w:t>
            </w:r>
            <w:r>
              <w:rPr>
                <w:b w:val="0"/>
                <w:i/>
                <w:color w:val="auto"/>
                <w:sz w:val="24"/>
                <w:szCs w:val="24"/>
              </w:rPr>
              <w:t>.</w:t>
            </w:r>
          </w:p>
        </w:tc>
      </w:tr>
      <w:tr w:rsidR="00573F19" w:rsidRPr="00E14097" w14:paraId="4C8F667B" w14:textId="77777777" w:rsidTr="003E42B4">
        <w:trPr>
          <w:cantSplit/>
          <w:trHeight w:val="840"/>
        </w:trPr>
        <w:tc>
          <w:tcPr>
            <w:tcW w:w="2696" w:type="dxa"/>
          </w:tcPr>
          <w:p w14:paraId="421D4772" w14:textId="77777777" w:rsidR="00573F19" w:rsidRDefault="00573F19" w:rsidP="00573F19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Функціональне</w:t>
            </w:r>
            <w:r>
              <w:rPr>
                <w:b w:val="0"/>
                <w:i/>
                <w:sz w:val="24"/>
                <w:szCs w:val="24"/>
              </w:rPr>
              <w:t xml:space="preserve">  </w:t>
            </w:r>
          </w:p>
          <w:p w14:paraId="608369F0" w14:textId="77777777" w:rsidR="00573F19" w:rsidRDefault="00573F19" w:rsidP="00573F19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призначення</w:t>
            </w:r>
            <w:r w:rsidRPr="000910F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910F3">
              <w:rPr>
                <w:b w:val="0"/>
                <w:i/>
                <w:sz w:val="24"/>
                <w:szCs w:val="24"/>
              </w:rPr>
              <w:t xml:space="preserve">згідно з </w:t>
            </w:r>
          </w:p>
          <w:p w14:paraId="34B72DA8" w14:textId="2C83FEF2" w:rsidR="00573F19" w:rsidRPr="00E14097" w:rsidRDefault="00573F19" w:rsidP="00573F19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0910F3">
              <w:rPr>
                <w:b w:val="0"/>
                <w:i/>
                <w:sz w:val="24"/>
                <w:szCs w:val="24"/>
              </w:rPr>
              <w:t>Генпланом</w:t>
            </w:r>
            <w:r w:rsidRPr="000910F3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943" w:type="dxa"/>
          </w:tcPr>
          <w:p w14:paraId="725F4964" w14:textId="7CFA6DC7" w:rsidR="00573F19" w:rsidRPr="0040701F" w:rsidRDefault="00FF132A" w:rsidP="00B0272D">
            <w:pPr>
              <w:pStyle w:val="a7"/>
              <w:shd w:val="clear" w:color="auto" w:fill="auto"/>
              <w:jc w:val="both"/>
              <w:rPr>
                <w:b w:val="0"/>
                <w:i/>
                <w:snapToGrid w:val="0"/>
                <w:sz w:val="24"/>
                <w:szCs w:val="24"/>
              </w:rPr>
            </w:pPr>
            <w:r w:rsidRPr="00EA4A0F">
              <w:rPr>
                <w:b w:val="0"/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Києва, затвердженого рішенням Київської міської ради від 28.03.2002 № 370/1804, земельна ділянка за функціональним призначенням </w:t>
            </w:r>
            <w:r w:rsidR="0040701F" w:rsidRPr="0040701F">
              <w:rPr>
                <w:b w:val="0"/>
                <w:i/>
                <w:snapToGrid w:val="0"/>
                <w:sz w:val="24"/>
                <w:szCs w:val="24"/>
              </w:rPr>
              <w:t xml:space="preserve">частково належить до території </w:t>
            </w:r>
            <w:r w:rsidR="00E61DD4">
              <w:rPr>
                <w:b w:val="0"/>
                <w:i/>
                <w:snapToGrid w:val="0"/>
                <w:sz w:val="24"/>
                <w:szCs w:val="24"/>
              </w:rPr>
              <w:t>захисної</w:t>
            </w:r>
            <w:r w:rsidR="0040701F" w:rsidRPr="0040701F">
              <w:rPr>
                <w:b w:val="0"/>
                <w:i/>
                <w:snapToGrid w:val="0"/>
                <w:sz w:val="24"/>
                <w:szCs w:val="24"/>
              </w:rPr>
              <w:t xml:space="preserve"> зелені (на розрахунковий період), частково – комунально-складських територій та частково до вулиць і доріг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09.06.2023</w:t>
            </w:r>
            <w:r w:rsidR="0040701F">
              <w:rPr>
                <w:b w:val="0"/>
                <w:i/>
                <w:snapToGrid w:val="0"/>
                <w:sz w:val="24"/>
                <w:szCs w:val="24"/>
              </w:rPr>
              <w:t xml:space="preserve">            </w:t>
            </w:r>
            <w:r w:rsidR="0040701F" w:rsidRPr="0040701F">
              <w:rPr>
                <w:b w:val="0"/>
                <w:i/>
                <w:snapToGrid w:val="0"/>
                <w:sz w:val="24"/>
                <w:szCs w:val="24"/>
              </w:rPr>
              <w:t>№ 055-4222).</w:t>
            </w:r>
          </w:p>
        </w:tc>
      </w:tr>
      <w:tr w:rsidR="00573F19" w:rsidRPr="00E14097" w14:paraId="4B34BDD7" w14:textId="77777777" w:rsidTr="003E42B4">
        <w:trPr>
          <w:cantSplit/>
          <w:trHeight w:val="280"/>
        </w:trPr>
        <w:tc>
          <w:tcPr>
            <w:tcW w:w="2696" w:type="dxa"/>
          </w:tcPr>
          <w:p w14:paraId="345B5EEA" w14:textId="5ED84CD3" w:rsidR="00573F19" w:rsidRPr="00E14097" w:rsidRDefault="00573F19" w:rsidP="00573F19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943" w:type="dxa"/>
          </w:tcPr>
          <w:p w14:paraId="305515DE" w14:textId="17F2C6B2" w:rsidR="00573F19" w:rsidRPr="00E14097" w:rsidRDefault="00FF132A" w:rsidP="00573F19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EA4A0F">
              <w:rPr>
                <w:b w:val="0"/>
                <w:bCs w:val="0"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73F19" w:rsidRPr="00E14097" w14:paraId="13BD6CA2" w14:textId="77777777" w:rsidTr="003E42B4">
        <w:trPr>
          <w:cantSplit/>
          <w:trHeight w:val="575"/>
        </w:trPr>
        <w:tc>
          <w:tcPr>
            <w:tcW w:w="2696" w:type="dxa"/>
          </w:tcPr>
          <w:p w14:paraId="0E65F9C0" w14:textId="77777777" w:rsidR="00573F19" w:rsidRDefault="00573F19" w:rsidP="00573F19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Розташування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8D4156D" w14:textId="792B0261" w:rsidR="00573F19" w:rsidRPr="00E14097" w:rsidRDefault="00573F19" w:rsidP="00573F19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14097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943" w:type="dxa"/>
          </w:tcPr>
          <w:p w14:paraId="6B46BC94" w14:textId="5BD0488F" w:rsidR="00573F19" w:rsidRPr="00E14097" w:rsidRDefault="00FF132A" w:rsidP="00573F19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EA4A0F">
              <w:rPr>
                <w:b w:val="0"/>
                <w:i/>
                <w:color w:val="auto"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573F19" w:rsidRPr="00E14097" w14:paraId="423FF558" w14:textId="77777777" w:rsidTr="003E42B4">
        <w:trPr>
          <w:cantSplit/>
          <w:trHeight w:val="280"/>
        </w:trPr>
        <w:tc>
          <w:tcPr>
            <w:tcW w:w="2696" w:type="dxa"/>
          </w:tcPr>
          <w:p w14:paraId="15C2B572" w14:textId="020735F5" w:rsidR="00573F19" w:rsidRPr="002A6A07" w:rsidRDefault="00573F19" w:rsidP="00573F19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2A6A07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943" w:type="dxa"/>
          </w:tcPr>
          <w:p w14:paraId="6E52DD6C" w14:textId="77777777" w:rsidR="00573F19" w:rsidRDefault="00573F19" w:rsidP="00573F1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F132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4C754AF3" w14:textId="46CA2C16" w:rsidR="00FF132A" w:rsidRDefault="00B83194" w:rsidP="00573F19">
            <w:pPr>
              <w:pStyle w:val="a7"/>
              <w:shd w:val="clear" w:color="auto" w:fill="auto"/>
              <w:jc w:val="both"/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Також з</w:t>
            </w:r>
            <w:r w:rsidR="00FF132A" w:rsidRPr="00FF132A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 xml:space="preserve">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="00FF132A" w:rsidRPr="00FF132A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="00FF132A" w:rsidRPr="00FF132A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EC0E863" w14:textId="77ACD28C" w:rsidR="00FF132A" w:rsidRPr="00F13B32" w:rsidRDefault="00FF132A" w:rsidP="00FF132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F13B3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2511EAE" w14:textId="5151D881" w:rsidR="00FF132A" w:rsidRPr="00FF132A" w:rsidRDefault="00FF132A" w:rsidP="00FF132A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13B32">
              <w:rPr>
                <w:rFonts w:eastAsia="Courier New"/>
                <w:b w:val="0"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13B32">
              <w:rPr>
                <w:rFonts w:eastAsia="Courier New"/>
                <w:b w:val="0"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F13B32">
              <w:rPr>
                <w:rFonts w:eastAsia="Courier New"/>
                <w:b w:val="0"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  <w:r w:rsidRPr="00FF132A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9B790EE" w14:textId="3B4F3C10" w:rsidR="00573F19" w:rsidRPr="009F2723" w:rsidRDefault="00573F19" w:rsidP="00573F19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64FD47DC" w14:textId="77777777" w:rsidR="00823CCF" w:rsidRPr="00E14097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0AC9033F" w14:textId="77777777" w:rsidR="00823CCF" w:rsidRPr="00E14097" w:rsidRDefault="00823CCF" w:rsidP="00823CCF">
      <w:pPr>
        <w:spacing w:after="59" w:line="1" w:lineRule="exact"/>
        <w:rPr>
          <w:rFonts w:ascii="Times New Roman" w:hAnsi="Times New Roman" w:cs="Times New Roman"/>
        </w:rPr>
      </w:pPr>
    </w:p>
    <w:p w14:paraId="35889F9A" w14:textId="77777777" w:rsidR="00FF132A" w:rsidRPr="00EA4A0F" w:rsidRDefault="00FF132A" w:rsidP="00FF132A">
      <w:pPr>
        <w:pStyle w:val="a7"/>
        <w:shd w:val="clear" w:color="auto" w:fill="auto"/>
        <w:spacing w:line="233" w:lineRule="auto"/>
        <w:ind w:left="142" w:firstLine="284"/>
        <w:jc w:val="both"/>
        <w:rPr>
          <w:sz w:val="24"/>
          <w:szCs w:val="24"/>
        </w:rPr>
      </w:pPr>
      <w:r w:rsidRPr="00EA4A0F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555FB92D" w14:textId="77777777" w:rsidR="00FF132A" w:rsidRPr="00EA4A0F" w:rsidRDefault="00FF132A" w:rsidP="00FF132A">
      <w:pPr>
        <w:spacing w:after="59" w:line="1" w:lineRule="exact"/>
        <w:rPr>
          <w:rFonts w:ascii="Times New Roman" w:hAnsi="Times New Roman" w:cs="Times New Roman"/>
        </w:rPr>
      </w:pPr>
    </w:p>
    <w:p w14:paraId="637442E2" w14:textId="513A6C34" w:rsidR="00330D3A" w:rsidRPr="00330D3A" w:rsidRDefault="00330D3A" w:rsidP="00330D3A">
      <w:pPr>
        <w:ind w:firstLine="300"/>
        <w:jc w:val="both"/>
        <w:rPr>
          <w:rFonts w:ascii="Times New Roman" w:eastAsia="Times New Roman" w:hAnsi="Times New Roman" w:cs="Times New Roman"/>
        </w:rPr>
      </w:pPr>
      <w:r w:rsidRPr="00330D3A">
        <w:rPr>
          <w:rFonts w:ascii="Times New Roman" w:eastAsia="Times New Roman" w:hAnsi="Times New Roman" w:cs="Times New Roman"/>
        </w:rPr>
        <w:t>Загальні засади та порядок відмови у наданні дозволу на розроблення документа</w:t>
      </w:r>
      <w:r w:rsidR="003B0168">
        <w:rPr>
          <w:rFonts w:ascii="Times New Roman" w:eastAsia="Times New Roman" w:hAnsi="Times New Roman" w:cs="Times New Roman"/>
        </w:rPr>
        <w:t xml:space="preserve">ції із землеустрою </w:t>
      </w:r>
      <w:r w:rsidR="000B6766" w:rsidRPr="000B6766">
        <w:rPr>
          <w:rFonts w:ascii="Times New Roman" w:hAnsi="Times New Roman" w:cs="Times New Roman"/>
          <w:color w:val="auto"/>
        </w:rPr>
        <w:t>визначено</w:t>
      </w:r>
      <w:r w:rsidR="000B6766">
        <w:rPr>
          <w:rFonts w:ascii="Times New Roman" w:eastAsia="Times New Roman" w:hAnsi="Times New Roman" w:cs="Times New Roman"/>
        </w:rPr>
        <w:t xml:space="preserve"> </w:t>
      </w:r>
      <w:r w:rsidR="003B0168">
        <w:rPr>
          <w:rFonts w:ascii="Times New Roman" w:eastAsia="Times New Roman" w:hAnsi="Times New Roman" w:cs="Times New Roman"/>
        </w:rPr>
        <w:t>статтями 9,</w:t>
      </w:r>
      <w:r w:rsidR="0040701F">
        <w:rPr>
          <w:rFonts w:ascii="Times New Roman" w:eastAsia="Times New Roman" w:hAnsi="Times New Roman" w:cs="Times New Roman"/>
        </w:rPr>
        <w:t xml:space="preserve"> 123</w:t>
      </w:r>
      <w:r w:rsidRPr="00330D3A">
        <w:rPr>
          <w:rFonts w:ascii="Times New Roman" w:eastAsia="Times New Roman" w:hAnsi="Times New Roman" w:cs="Times New Roman"/>
        </w:rPr>
        <w:t xml:space="preserve"> Земельного кодексу України.</w:t>
      </w:r>
    </w:p>
    <w:p w14:paraId="15401373" w14:textId="77777777" w:rsidR="00FF132A" w:rsidRPr="00EA4A0F" w:rsidRDefault="00FF132A" w:rsidP="00FF132A">
      <w:pPr>
        <w:pStyle w:val="1"/>
        <w:spacing w:line="233" w:lineRule="auto"/>
        <w:ind w:firstLine="440"/>
        <w:jc w:val="both"/>
        <w:rPr>
          <w:i w:val="0"/>
          <w:sz w:val="24"/>
          <w:szCs w:val="24"/>
        </w:rPr>
      </w:pPr>
      <w:proofErr w:type="spellStart"/>
      <w:r w:rsidRPr="00EA4A0F">
        <w:rPr>
          <w:i w:val="0"/>
          <w:sz w:val="24"/>
          <w:szCs w:val="24"/>
        </w:rPr>
        <w:t>Проєкт</w:t>
      </w:r>
      <w:proofErr w:type="spellEnd"/>
      <w:r w:rsidRPr="00EA4A0F">
        <w:rPr>
          <w:i w:val="0"/>
          <w:sz w:val="24"/>
          <w:szCs w:val="24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 </w:t>
      </w:r>
    </w:p>
    <w:p w14:paraId="5636CE3C" w14:textId="77777777" w:rsidR="00FF132A" w:rsidRPr="00EA4A0F" w:rsidRDefault="00FF132A" w:rsidP="00FF132A">
      <w:pPr>
        <w:pStyle w:val="1"/>
        <w:shd w:val="clear" w:color="auto" w:fill="auto"/>
        <w:spacing w:line="233" w:lineRule="auto"/>
        <w:ind w:firstLine="440"/>
        <w:jc w:val="both"/>
        <w:rPr>
          <w:i w:val="0"/>
          <w:color w:val="auto"/>
          <w:sz w:val="24"/>
          <w:szCs w:val="24"/>
        </w:rPr>
      </w:pPr>
      <w:proofErr w:type="spellStart"/>
      <w:r w:rsidRPr="00EA4A0F">
        <w:rPr>
          <w:i w:val="0"/>
          <w:sz w:val="24"/>
          <w:szCs w:val="24"/>
        </w:rPr>
        <w:t>Проєкт</w:t>
      </w:r>
      <w:proofErr w:type="spellEnd"/>
      <w:r w:rsidRPr="00EA4A0F">
        <w:rPr>
          <w:i w:val="0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</w:t>
      </w:r>
      <w:bookmarkStart w:id="0" w:name="_GoBack"/>
      <w:bookmarkEnd w:id="0"/>
      <w:r w:rsidRPr="00EA4A0F">
        <w:rPr>
          <w:i w:val="0"/>
          <w:sz w:val="24"/>
          <w:szCs w:val="24"/>
        </w:rPr>
        <w:t>ву на життєдіяльність цієї категорії.</w:t>
      </w:r>
    </w:p>
    <w:p w14:paraId="1E8CE108" w14:textId="1EF6062A" w:rsidR="007E40D3" w:rsidRPr="00B0272D" w:rsidRDefault="007E40D3" w:rsidP="00B21F00">
      <w:pPr>
        <w:pStyle w:val="1"/>
        <w:shd w:val="clear" w:color="auto" w:fill="auto"/>
        <w:spacing w:line="233" w:lineRule="auto"/>
        <w:jc w:val="both"/>
        <w:rPr>
          <w:i w:val="0"/>
          <w:sz w:val="24"/>
          <w:szCs w:val="24"/>
        </w:rPr>
      </w:pPr>
    </w:p>
    <w:p w14:paraId="0B21809D" w14:textId="77777777" w:rsidR="00FF132A" w:rsidRPr="00EA4A0F" w:rsidRDefault="00FF132A" w:rsidP="00FF132A">
      <w:pPr>
        <w:pStyle w:val="1"/>
        <w:shd w:val="clear" w:color="auto" w:fill="auto"/>
        <w:spacing w:line="230" w:lineRule="auto"/>
        <w:ind w:left="142" w:firstLine="284"/>
        <w:rPr>
          <w:i w:val="0"/>
          <w:sz w:val="24"/>
          <w:szCs w:val="24"/>
        </w:rPr>
      </w:pPr>
      <w:r w:rsidRPr="00EA4A0F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1F4FAD2D" w14:textId="77777777" w:rsidR="00FF132A" w:rsidRPr="00EA4A0F" w:rsidRDefault="00FF132A" w:rsidP="00FF132A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EA4A0F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4EB35C48" w14:textId="77777777" w:rsidR="00FF132A" w:rsidRPr="00EA4A0F" w:rsidRDefault="00FF132A" w:rsidP="00FF132A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51E81431" w14:textId="77777777" w:rsidR="00FF132A" w:rsidRPr="00EA4A0F" w:rsidRDefault="00FF132A" w:rsidP="00FF132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EA4A0F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4F5B7411" w14:textId="77777777" w:rsidR="00FF132A" w:rsidRPr="00EA4A0F" w:rsidRDefault="00FF132A" w:rsidP="00FF132A">
      <w:pPr>
        <w:spacing w:after="120"/>
        <w:ind w:left="426"/>
        <w:rPr>
          <w:rFonts w:ascii="Times New Roman" w:eastAsia="Times New Roman" w:hAnsi="Times New Roman" w:cs="Times New Roman"/>
          <w:iCs/>
          <w:color w:val="auto"/>
        </w:rPr>
      </w:pPr>
      <w:r w:rsidRPr="00EA4A0F">
        <w:rPr>
          <w:rFonts w:ascii="Times New Roman" w:eastAsia="Times New Roman" w:hAnsi="Times New Roman" w:cs="Times New Roman"/>
          <w:iCs/>
        </w:rPr>
        <w:t>Рішення не тягне за собою жодних соціально-економічних та інших наслідків.</w:t>
      </w:r>
    </w:p>
    <w:p w14:paraId="6B0F1F35" w14:textId="1253A2AA" w:rsidR="009031CB" w:rsidRDefault="00823CCF" w:rsidP="009031CB">
      <w:pPr>
        <w:pStyle w:val="22"/>
        <w:shd w:val="clear" w:color="auto" w:fill="auto"/>
        <w:spacing w:after="0"/>
        <w:ind w:firstLine="0"/>
        <w:jc w:val="left"/>
        <w:rPr>
          <w:rStyle w:val="ad"/>
          <w:b w:val="0"/>
          <w:i w:val="0"/>
          <w:sz w:val="20"/>
          <w:szCs w:val="20"/>
        </w:rPr>
      </w:pPr>
      <w:r w:rsidRPr="00E14097">
        <w:rPr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E14097" w:rsidRPr="00E14097">
        <w:rPr>
          <w:rStyle w:val="ad"/>
          <w:b w:val="0"/>
          <w:i w:val="0"/>
          <w:sz w:val="20"/>
          <w:szCs w:val="20"/>
        </w:rPr>
        <w:t>Валентина ПЕЛИХ</w:t>
      </w:r>
    </w:p>
    <w:p w14:paraId="61404D79" w14:textId="00E74F45" w:rsidR="00F72E97" w:rsidRDefault="00F72E97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p w14:paraId="44D8CC14" w14:textId="77777777" w:rsidR="003E42B4" w:rsidRDefault="003E42B4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72E97" w14:paraId="44F98C9D" w14:textId="77777777" w:rsidTr="00F72E97">
        <w:trPr>
          <w:trHeight w:val="663"/>
        </w:trPr>
        <w:tc>
          <w:tcPr>
            <w:tcW w:w="4814" w:type="dxa"/>
            <w:hideMark/>
          </w:tcPr>
          <w:p w14:paraId="3FAACC09" w14:textId="2C445128" w:rsidR="00F72E97" w:rsidRDefault="00FF4217" w:rsidP="00FF4217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518DB8DB" w14:textId="556566AF" w:rsidR="00F72E97" w:rsidRPr="00F86A3D" w:rsidRDefault="00F72E97" w:rsidP="00D6405A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F86A3D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7DA0A24" w14:textId="7D8525B1" w:rsidR="00823CCF" w:rsidRDefault="00823CCF" w:rsidP="00F72E97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14:paraId="7803F015" w14:textId="77777777" w:rsidR="00B60F63" w:rsidRPr="002F12D1" w:rsidRDefault="00B60F63" w:rsidP="00F72E97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sectPr w:rsidR="00B60F63" w:rsidRPr="002F12D1" w:rsidSect="003E42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9BFE3" w14:textId="77777777" w:rsidR="004C65E2" w:rsidRDefault="004C65E2">
      <w:r>
        <w:separator/>
      </w:r>
    </w:p>
  </w:endnote>
  <w:endnote w:type="continuationSeparator" w:id="0">
    <w:p w14:paraId="4876808D" w14:textId="77777777" w:rsidR="004C65E2" w:rsidRDefault="004C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719D" w14:textId="77777777" w:rsidR="00AE7F33" w:rsidRDefault="00AE7F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9338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4CE4FA" wp14:editId="3522E5AA">
              <wp:simplePos x="0" y="0"/>
              <wp:positionH relativeFrom="margin">
                <wp:posOffset>4850765</wp:posOffset>
              </wp:positionH>
              <wp:positionV relativeFrom="bottomMargin">
                <wp:posOffset>1209675</wp:posOffset>
              </wp:positionV>
              <wp:extent cx="1424893" cy="8414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893" cy="841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776DF" w14:textId="77777777" w:rsidR="00C9228B" w:rsidRPr="00303B00" w:rsidRDefault="00C9228B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  <w:p w14:paraId="738820D3" w14:textId="77777777" w:rsidR="002D306E" w:rsidRPr="002D306E" w:rsidRDefault="002D306E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jc w:val="right"/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CE4FA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1.95pt;margin-top:95.25pt;width:112.2pt;height:6.6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njmQEAACMDAAAOAAAAZHJzL2Uyb0RvYy54bWysUsFOIzEMvSPxD1HudNputbSjThErBFoJ&#10;ARK7H5Bmkk6kSRyctDP9e5zMtCD2tuLiOLbz/Pyc9U1vW3ZQGAy4is8mU86Uk1Abt6v43z/3V0vO&#10;QhSuFi04VfGjCvxmc3mx7nyp5tBAWytkBOJC2fmKNzH6siiCbJQVYQJeOUpqQCsiXXFX1Cg6Qrdt&#10;MZ9OfxYdYO0RpAqBondDkm8yvtZKxmetg4qsrThxi9litttki81alDsUvjFypCH+g4UVxlHTM9Sd&#10;iILt0fwDZY1ECKDjRIItQGsjVZ6BpplNv0zz2giv8iwkTvBnmcL3wcqnwwsyU1d8xZkTllaUu7JV&#10;kqbzoaSKV081sf8FPa34FA8UTBP3Gm06aRZGeRL5eBZW9ZHJ9GgxXyxXPziTlFsuZovrhFJ8PPYY&#10;4oMCy5JTcaS9ZTnF4THEofRUkno5uDdtm+KJ4cAkebHf9iPtLdRHYt3Raise3vYCFWftb0fapX9w&#10;cvDkbEdngL/dR9Amd064A9jYjjaRuY+/Jq368z1XffztzTsAAAD//wMAUEsDBBQABgAIAAAAIQCu&#10;aaO34AAAAAsBAAAPAAAAZHJzL2Rvd25yZXYueG1sTI/BTsMwEETvSPyDtUjcqE0jQhLiVBWCExIi&#10;DQeOTrxNrMbrELtt+HvMiR5X8zTzttwsdmQnnL1xJOF+JYAhdU4b6iV8Nq93GTAfFGk1OkIJP+hh&#10;U11flarQ7kw1nnahZ7GEfKEkDCFMBee+G9Aqv3ITUsz2brYqxHPuuZ7VOZbbka+FSLlVhuLCoCZ8&#10;HrA77I5WwvaL6hfz/d5+1PvaNE0u6C09SHl7s2yfgAVcwj8Mf/pRHaro1Lojac9GCY9pkkc0Brl4&#10;ABaJPMsSYK2EtUgy4FXJL3+ofgEAAP//AwBQSwECLQAUAAYACAAAACEAtoM4kv4AAADhAQAAEwAA&#10;AAAAAAAAAAAAAAAAAAAAW0NvbnRlbnRfVHlwZXNdLnhtbFBLAQItABQABgAIAAAAIQA4/SH/1gAA&#10;AJQBAAALAAAAAAAAAAAAAAAAAC8BAABfcmVscy8ucmVsc1BLAQItABQABgAIAAAAIQCqfhnjmQEA&#10;ACMDAAAOAAAAAAAAAAAAAAAAAC4CAABkcnMvZTJvRG9jLnhtbFBLAQItABQABgAIAAAAIQCuaaO3&#10;4AAAAAsBAAAPAAAAAAAAAAAAAAAAAPMDAABkcnMvZG93bnJldi54bWxQSwUGAAAAAAQABADzAAAA&#10;AAUAAAAA&#10;" filled="f" stroked="f">
              <v:textbox inset="0,0,0,0">
                <w:txbxContent>
                  <w:p w14:paraId="40A776DF" w14:textId="77777777" w:rsidR="00C9228B" w:rsidRPr="00303B00" w:rsidRDefault="00C9228B" w:rsidP="00C9228B">
                    <w:pPr>
                      <w:pStyle w:val="20"/>
                      <w:shd w:val="clear" w:color="auto" w:fill="auto"/>
                      <w:tabs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  <w:p w14:paraId="738820D3" w14:textId="77777777" w:rsidR="002D306E" w:rsidRPr="002D306E" w:rsidRDefault="002D306E" w:rsidP="00C9228B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jc w:val="right"/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C723" w14:textId="77777777" w:rsidR="00AE7F33" w:rsidRDefault="00AE7F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0E2B0" w14:textId="77777777" w:rsidR="004C65E2" w:rsidRDefault="004C65E2"/>
  </w:footnote>
  <w:footnote w:type="continuationSeparator" w:id="0">
    <w:p w14:paraId="008C5C27" w14:textId="77777777" w:rsidR="004C65E2" w:rsidRDefault="004C65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A443" w14:textId="77777777" w:rsidR="00AE7F33" w:rsidRDefault="00AE7F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7662" w14:textId="10A37A44" w:rsidR="00F57DDE" w:rsidRDefault="00ED1BC4" w:rsidP="00ED1BC4">
    <w:pPr>
      <w:pStyle w:val="22"/>
      <w:shd w:val="clear" w:color="auto" w:fill="auto"/>
      <w:spacing w:after="0"/>
      <w:ind w:left="2680" w:firstLine="14"/>
      <w:jc w:val="center"/>
      <w:rPr>
        <w:sz w:val="12"/>
        <w:szCs w:val="12"/>
      </w:rPr>
    </w:pPr>
    <w:r w:rsidRPr="00323D42">
      <w:rPr>
        <w:sz w:val="12"/>
        <w:szCs w:val="12"/>
        <w:lang w:val="ru-RU"/>
      </w:rPr>
      <w:t xml:space="preserve">                                                                        </w:t>
    </w:r>
    <w:r w:rsidR="00AE7F33">
      <w:rPr>
        <w:sz w:val="12"/>
        <w:szCs w:val="12"/>
      </w:rPr>
      <w:t xml:space="preserve">               </w:t>
    </w:r>
    <w:r w:rsidRPr="00323D42">
      <w:rPr>
        <w:sz w:val="12"/>
        <w:szCs w:val="12"/>
        <w:lang w:val="ru-RU"/>
      </w:rPr>
      <w:t xml:space="preserve"> </w:t>
    </w:r>
    <w:r w:rsidR="00F57DDE">
      <w:rPr>
        <w:sz w:val="12"/>
        <w:szCs w:val="12"/>
      </w:rPr>
      <w:t xml:space="preserve">Пояснювальна записка № </w:t>
    </w:r>
    <w:r w:rsidR="00C9228B" w:rsidRPr="00323D42">
      <w:rPr>
        <w:sz w:val="12"/>
        <w:szCs w:val="12"/>
        <w:lang w:val="ru-RU"/>
      </w:rPr>
      <w:t>ПЗН-55184</w:t>
    </w:r>
    <w:r w:rsidR="00F57DDE">
      <w:rPr>
        <w:sz w:val="12"/>
        <w:szCs w:val="12"/>
      </w:rPr>
      <w:t xml:space="preserve"> від </w:t>
    </w:r>
    <w:r w:rsidR="004C235D" w:rsidRPr="00323D42">
      <w:rPr>
        <w:i w:val="0"/>
        <w:sz w:val="12"/>
        <w:szCs w:val="12"/>
        <w:lang w:val="ru-RU"/>
      </w:rPr>
      <w:t>16.06.2023</w:t>
    </w:r>
    <w:r w:rsidR="00F57DDE">
      <w:rPr>
        <w:sz w:val="12"/>
        <w:szCs w:val="12"/>
      </w:rPr>
      <w:t xml:space="preserve"> до клопотання 698900145</w:t>
    </w:r>
  </w:p>
  <w:p w14:paraId="6D040C83" w14:textId="34C35762" w:rsidR="00F57DDE" w:rsidRPr="007566A0" w:rsidRDefault="00F57DDE" w:rsidP="007566A0">
    <w:pPr>
      <w:pStyle w:val="a9"/>
      <w:jc w:val="right"/>
      <w:rPr>
        <w:rFonts w:ascii="Times New Roman" w:hAnsi="Times New Roman" w:cs="Times New Roman"/>
      </w:rPr>
    </w:pPr>
    <w:r w:rsidRPr="00C9228B">
      <w:rPr>
        <w:rFonts w:ascii="Times New Roman" w:hAnsi="Times New Roman" w:cs="Times New Roman"/>
        <w:sz w:val="12"/>
        <w:szCs w:val="12"/>
      </w:rPr>
      <w:t>Сторінка</w:t>
    </w:r>
    <w:r w:rsidRPr="00C9228B">
      <w:rPr>
        <w:rFonts w:ascii="Times New Roman" w:hAnsi="Times New Roman" w:cs="Times New Roman"/>
        <w:sz w:val="12"/>
        <w:szCs w:val="12"/>
        <w:lang w:val="ru-RU"/>
      </w:rPr>
      <w:t xml:space="preserve"> </w:t>
    </w:r>
    <w:sdt>
      <w:sdtPr>
        <w:rPr>
          <w:rFonts w:ascii="Times New Roman" w:hAnsi="Times New Roman" w:cs="Times New Roman"/>
        </w:rPr>
        <w:id w:val="-972446427"/>
        <w:docPartObj>
          <w:docPartGallery w:val="Page Numbers (Top of Page)"/>
          <w:docPartUnique/>
        </w:docPartObj>
      </w:sdtPr>
      <w:sdtEndPr/>
      <w:sdtContent>
        <w:r w:rsidRPr="00C9228B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9228B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B6766" w:rsidRPr="000B676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8F4D" w14:textId="77777777" w:rsidR="00AE7F33" w:rsidRDefault="00AE7F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F6B5FB0"/>
    <w:multiLevelType w:val="hybridMultilevel"/>
    <w:tmpl w:val="4558C0F6"/>
    <w:lvl w:ilvl="0" w:tplc="CF906C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502C7"/>
    <w:rsid w:val="000910F3"/>
    <w:rsid w:val="000B1746"/>
    <w:rsid w:val="000B6766"/>
    <w:rsid w:val="000D22AE"/>
    <w:rsid w:val="000E6C42"/>
    <w:rsid w:val="000F51A2"/>
    <w:rsid w:val="001226D9"/>
    <w:rsid w:val="00126B6B"/>
    <w:rsid w:val="00135F96"/>
    <w:rsid w:val="00152566"/>
    <w:rsid w:val="0016268B"/>
    <w:rsid w:val="001872D3"/>
    <w:rsid w:val="00195D9F"/>
    <w:rsid w:val="001B4CF3"/>
    <w:rsid w:val="001D56A7"/>
    <w:rsid w:val="001E1099"/>
    <w:rsid w:val="001E1DC3"/>
    <w:rsid w:val="00201AB8"/>
    <w:rsid w:val="00222EBC"/>
    <w:rsid w:val="00224726"/>
    <w:rsid w:val="00254787"/>
    <w:rsid w:val="0027157C"/>
    <w:rsid w:val="002A6A07"/>
    <w:rsid w:val="002C31D9"/>
    <w:rsid w:val="002D306E"/>
    <w:rsid w:val="002F12D1"/>
    <w:rsid w:val="00306CBB"/>
    <w:rsid w:val="00312EB5"/>
    <w:rsid w:val="00323D42"/>
    <w:rsid w:val="00330D3A"/>
    <w:rsid w:val="00333098"/>
    <w:rsid w:val="0034497E"/>
    <w:rsid w:val="003559F0"/>
    <w:rsid w:val="0037396E"/>
    <w:rsid w:val="003870E9"/>
    <w:rsid w:val="00391F08"/>
    <w:rsid w:val="003B0168"/>
    <w:rsid w:val="003C1CD5"/>
    <w:rsid w:val="003C3461"/>
    <w:rsid w:val="003D42D1"/>
    <w:rsid w:val="003E42B4"/>
    <w:rsid w:val="003F7983"/>
    <w:rsid w:val="0040701F"/>
    <w:rsid w:val="00434B4C"/>
    <w:rsid w:val="0045563D"/>
    <w:rsid w:val="0049406D"/>
    <w:rsid w:val="004A0394"/>
    <w:rsid w:val="004A3A68"/>
    <w:rsid w:val="004C235D"/>
    <w:rsid w:val="004C65E2"/>
    <w:rsid w:val="004D3415"/>
    <w:rsid w:val="00524A88"/>
    <w:rsid w:val="00551128"/>
    <w:rsid w:val="0056003D"/>
    <w:rsid w:val="005642E9"/>
    <w:rsid w:val="00570BA1"/>
    <w:rsid w:val="00573F19"/>
    <w:rsid w:val="005754BF"/>
    <w:rsid w:val="005C6293"/>
    <w:rsid w:val="00600925"/>
    <w:rsid w:val="006351D8"/>
    <w:rsid w:val="00636DD5"/>
    <w:rsid w:val="00645041"/>
    <w:rsid w:val="006B3AD8"/>
    <w:rsid w:val="006B6F5F"/>
    <w:rsid w:val="006E6C90"/>
    <w:rsid w:val="00751686"/>
    <w:rsid w:val="007566A0"/>
    <w:rsid w:val="0078020B"/>
    <w:rsid w:val="007812BA"/>
    <w:rsid w:val="007A0CA0"/>
    <w:rsid w:val="007B72F8"/>
    <w:rsid w:val="007D23D5"/>
    <w:rsid w:val="007D5596"/>
    <w:rsid w:val="007E40D3"/>
    <w:rsid w:val="007F163D"/>
    <w:rsid w:val="00823CCF"/>
    <w:rsid w:val="00826E1C"/>
    <w:rsid w:val="00843FD3"/>
    <w:rsid w:val="00856E90"/>
    <w:rsid w:val="00892D12"/>
    <w:rsid w:val="008A338E"/>
    <w:rsid w:val="008B3E2C"/>
    <w:rsid w:val="008E54D2"/>
    <w:rsid w:val="009031CB"/>
    <w:rsid w:val="00906C73"/>
    <w:rsid w:val="00936CCA"/>
    <w:rsid w:val="009444A4"/>
    <w:rsid w:val="0095007E"/>
    <w:rsid w:val="009648AB"/>
    <w:rsid w:val="00981864"/>
    <w:rsid w:val="009A01FE"/>
    <w:rsid w:val="009A33C5"/>
    <w:rsid w:val="009B1087"/>
    <w:rsid w:val="009B3430"/>
    <w:rsid w:val="009F0D03"/>
    <w:rsid w:val="009F2723"/>
    <w:rsid w:val="00A16E11"/>
    <w:rsid w:val="00A31B11"/>
    <w:rsid w:val="00A663DF"/>
    <w:rsid w:val="00A75FBE"/>
    <w:rsid w:val="00A839DE"/>
    <w:rsid w:val="00AD7284"/>
    <w:rsid w:val="00AE7F33"/>
    <w:rsid w:val="00B0272D"/>
    <w:rsid w:val="00B0344D"/>
    <w:rsid w:val="00B07A01"/>
    <w:rsid w:val="00B10D2A"/>
    <w:rsid w:val="00B1236A"/>
    <w:rsid w:val="00B21F00"/>
    <w:rsid w:val="00B26CF9"/>
    <w:rsid w:val="00B60F63"/>
    <w:rsid w:val="00B83194"/>
    <w:rsid w:val="00B8445E"/>
    <w:rsid w:val="00BB540D"/>
    <w:rsid w:val="00BC31FD"/>
    <w:rsid w:val="00BC524D"/>
    <w:rsid w:val="00BE74D8"/>
    <w:rsid w:val="00BF0CFA"/>
    <w:rsid w:val="00BF610D"/>
    <w:rsid w:val="00C1298E"/>
    <w:rsid w:val="00C166DB"/>
    <w:rsid w:val="00C23E5E"/>
    <w:rsid w:val="00C245A6"/>
    <w:rsid w:val="00C3239C"/>
    <w:rsid w:val="00C42030"/>
    <w:rsid w:val="00C46C3D"/>
    <w:rsid w:val="00C746FD"/>
    <w:rsid w:val="00C91A2B"/>
    <w:rsid w:val="00C9228B"/>
    <w:rsid w:val="00CA7A4D"/>
    <w:rsid w:val="00CB7CC5"/>
    <w:rsid w:val="00D13E77"/>
    <w:rsid w:val="00D256F1"/>
    <w:rsid w:val="00D269C6"/>
    <w:rsid w:val="00D40637"/>
    <w:rsid w:val="00D45A11"/>
    <w:rsid w:val="00D62D0A"/>
    <w:rsid w:val="00D6405A"/>
    <w:rsid w:val="00D857E8"/>
    <w:rsid w:val="00D952A9"/>
    <w:rsid w:val="00DA04E3"/>
    <w:rsid w:val="00DB1E01"/>
    <w:rsid w:val="00DB4E85"/>
    <w:rsid w:val="00DC1456"/>
    <w:rsid w:val="00DC1AAF"/>
    <w:rsid w:val="00DE62BE"/>
    <w:rsid w:val="00E14097"/>
    <w:rsid w:val="00E22B93"/>
    <w:rsid w:val="00E61DD4"/>
    <w:rsid w:val="00E7357F"/>
    <w:rsid w:val="00E74CE6"/>
    <w:rsid w:val="00E94376"/>
    <w:rsid w:val="00E97F0C"/>
    <w:rsid w:val="00EB1361"/>
    <w:rsid w:val="00EB1CDA"/>
    <w:rsid w:val="00ED1BC4"/>
    <w:rsid w:val="00EE4070"/>
    <w:rsid w:val="00EF604D"/>
    <w:rsid w:val="00EF6EAC"/>
    <w:rsid w:val="00F02973"/>
    <w:rsid w:val="00F057C7"/>
    <w:rsid w:val="00F110E2"/>
    <w:rsid w:val="00F25023"/>
    <w:rsid w:val="00F43F30"/>
    <w:rsid w:val="00F4426A"/>
    <w:rsid w:val="00F57DDE"/>
    <w:rsid w:val="00F72071"/>
    <w:rsid w:val="00F72E97"/>
    <w:rsid w:val="00F86A3D"/>
    <w:rsid w:val="00FC1435"/>
    <w:rsid w:val="00FE05C5"/>
    <w:rsid w:val="00FE18EE"/>
    <w:rsid w:val="00FF132A"/>
    <w:rsid w:val="00FF1E1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0E2B9B"/>
  <w15:docId w15:val="{D082BB52-3FCF-4BDB-88C6-62C1915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E14097"/>
    <w:rPr>
      <w:b/>
      <w:bCs/>
    </w:rPr>
  </w:style>
  <w:style w:type="character" w:styleId="ae">
    <w:name w:val="Emphasis"/>
    <w:basedOn w:val="a0"/>
    <w:uiPriority w:val="20"/>
    <w:qFormat/>
    <w:rsid w:val="00391F08"/>
    <w:rPr>
      <w:i/>
      <w:iCs/>
    </w:rPr>
  </w:style>
  <w:style w:type="character" w:customStyle="1" w:styleId="3">
    <w:name w:val="Основной текст (3)_"/>
    <w:basedOn w:val="a0"/>
    <w:link w:val="30"/>
    <w:locked/>
    <w:rsid w:val="00F72E9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2E9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60F63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60F63"/>
    <w:rPr>
      <w:rFonts w:ascii="Segoe UI" w:hAnsi="Segoe UI" w:cs="Segoe UI"/>
      <w:color w:val="000000"/>
      <w:sz w:val="18"/>
      <w:szCs w:val="18"/>
    </w:rPr>
  </w:style>
  <w:style w:type="paragraph" w:customStyle="1" w:styleId="ParagraphStyle">
    <w:name w:val="Paragraph Style"/>
    <w:rsid w:val="00312EB5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oksana.shynkarchu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4525</CharactersWithSpaces>
  <SharedDoc>false</SharedDoc>
  <HyperlinkBase>76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відмова</dc:title>
  <dc:creator>Шинкарчук Оксана Олексіївна</dc:creator>
  <cp:lastModifiedBy>Шинкарчук Оксана Олексіївна</cp:lastModifiedBy>
  <cp:revision>25</cp:revision>
  <cp:lastPrinted>2023-07-11T13:38:00Z</cp:lastPrinted>
  <dcterms:created xsi:type="dcterms:W3CDTF">2023-06-16T07:12:00Z</dcterms:created>
  <dcterms:modified xsi:type="dcterms:W3CDTF">2023-07-11T13:41:00Z</dcterms:modified>
</cp:coreProperties>
</file>