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7FAAA4AB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052E895C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1AC9">
                              <w:rPr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5AE9" w:rsidRPr="00C8033A">
                              <w:rPr>
                                <w:sz w:val="24"/>
                                <w:szCs w:val="24"/>
                              </w:rPr>
                              <w:t>691440576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052E895C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41AC9">
                        <w:rPr>
                          <w:bCs/>
                          <w:sz w:val="24"/>
                          <w:szCs w:val="24"/>
                        </w:rPr>
                        <w:t>№</w:t>
                      </w: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C5AE9" w:rsidRPr="00C8033A">
                        <w:rPr>
                          <w:sz w:val="24"/>
                          <w:szCs w:val="24"/>
                        </w:rPr>
                        <w:t>691440576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A0891A7" w:rsidR="008A338E" w:rsidRPr="00553E8C" w:rsidRDefault="002C5AE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27367C97" wp14:editId="1E7425AE">
            <wp:simplePos x="0" y="0"/>
            <wp:positionH relativeFrom="column">
              <wp:posOffset>4861560</wp:posOffset>
            </wp:positionH>
            <wp:positionV relativeFrom="paragraph">
              <wp:posOffset>71120</wp:posOffset>
            </wp:positionV>
            <wp:extent cx="857250" cy="771525"/>
            <wp:effectExtent l="0" t="0" r="0" b="9525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79066A">
        <w:rPr>
          <w:b/>
          <w:bCs/>
          <w:i w:val="0"/>
          <w:iCs w:val="0"/>
          <w:sz w:val="24"/>
          <w:szCs w:val="24"/>
          <w:lang w:val="ru-RU"/>
        </w:rPr>
        <w:t>ПЗ</w:t>
      </w:r>
      <w:r w:rsidRPr="00443D7D">
        <w:rPr>
          <w:b/>
          <w:bCs/>
          <w:sz w:val="24"/>
          <w:szCs w:val="24"/>
          <w:lang w:val="ru-RU"/>
        </w:rPr>
        <w:t>-41332</w:t>
      </w:r>
      <w:r w:rsidRPr="0029351E">
        <w:rPr>
          <w:b/>
          <w:bCs/>
          <w:sz w:val="24"/>
          <w:szCs w:val="24"/>
        </w:rPr>
        <w:t xml:space="preserve"> 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від </w:t>
      </w:r>
      <w:r w:rsidRPr="00443D7D">
        <w:rPr>
          <w:b/>
          <w:bCs/>
          <w:sz w:val="24"/>
          <w:szCs w:val="24"/>
          <w:lang w:val="ru-RU"/>
        </w:rPr>
        <w:t>07.06.2022</w:t>
      </w:r>
    </w:p>
    <w:p w14:paraId="41C95576" w14:textId="7BEDD786" w:rsidR="008A338E" w:rsidRPr="00553E8C" w:rsidRDefault="005F25CC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7AE6EA8" w14:textId="50D8A0FD" w:rsidR="00D37C9D" w:rsidRPr="001D4FCD" w:rsidRDefault="00D33BC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rFonts w:eastAsia="Georgia"/>
          <w:b/>
          <w:i/>
          <w:iCs/>
          <w:sz w:val="24"/>
          <w:szCs w:val="24"/>
        </w:rPr>
      </w:pPr>
      <w:r w:rsidRPr="00382620">
        <w:rPr>
          <w:rFonts w:eastAsia="Georgia"/>
          <w:b/>
          <w:i/>
          <w:iCs/>
          <w:sz w:val="24"/>
          <w:szCs w:val="24"/>
        </w:rPr>
        <w:t xml:space="preserve">Про відмову </w:t>
      </w:r>
      <w:r w:rsidR="00443D7D" w:rsidRPr="00382620">
        <w:rPr>
          <w:rFonts w:eastAsia="Georgia"/>
          <w:b/>
          <w:i/>
          <w:iCs/>
          <w:sz w:val="24"/>
          <w:szCs w:val="24"/>
        </w:rPr>
        <w:t>товариству з обмеженою відповідальністю</w:t>
      </w:r>
      <w:r w:rsidR="00BD2A7F" w:rsidRPr="00382620">
        <w:rPr>
          <w:rFonts w:eastAsia="Georgia"/>
          <w:b/>
          <w:i/>
          <w:iCs/>
          <w:sz w:val="24"/>
          <w:szCs w:val="24"/>
        </w:rPr>
        <w:t xml:space="preserve"> «БУДІНВЕСТ КМ» </w:t>
      </w:r>
      <w:r w:rsidRPr="00382620">
        <w:rPr>
          <w:rFonts w:eastAsia="Georgia"/>
          <w:b/>
          <w:i/>
          <w:iCs/>
          <w:sz w:val="24"/>
          <w:szCs w:val="24"/>
        </w:rPr>
        <w:t>в поновленні</w:t>
      </w:r>
      <w:r w:rsidRPr="00D33BC2">
        <w:rPr>
          <w:rFonts w:eastAsia="Georgia"/>
          <w:b/>
          <w:i/>
          <w:iCs/>
          <w:sz w:val="24"/>
          <w:szCs w:val="24"/>
        </w:rPr>
        <w:t xml:space="preserve"> договору оренди земельної ділянки </w:t>
      </w:r>
      <w:r w:rsidR="00443D7D" w:rsidRPr="00443D7D">
        <w:rPr>
          <w:rFonts w:eastAsia="Georgia"/>
          <w:b/>
          <w:i/>
          <w:iCs/>
          <w:sz w:val="24"/>
          <w:szCs w:val="24"/>
        </w:rPr>
        <w:t>від 14 серпня 2007 року № 85-6-00341 (зі змінами)</w:t>
      </w:r>
    </w:p>
    <w:p w14:paraId="1E6EDD48" w14:textId="7B857D3B" w:rsidR="0090349D" w:rsidRPr="0090349D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0349D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562"/>
        <w:gridCol w:w="7077"/>
      </w:tblGrid>
      <w:tr w:rsidR="00E94376" w:rsidRPr="00037B84" w14:paraId="756D097C" w14:textId="77777777" w:rsidTr="00B25D95">
        <w:trPr>
          <w:cantSplit/>
          <w:trHeight w:val="283"/>
        </w:trPr>
        <w:tc>
          <w:tcPr>
            <w:tcW w:w="2562" w:type="dxa"/>
          </w:tcPr>
          <w:p w14:paraId="5ABA7EA4" w14:textId="77777777" w:rsidR="00E94376" w:rsidRPr="00E81300" w:rsidRDefault="00E94376" w:rsidP="00E9437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81300">
              <w:rPr>
                <w:b w:val="0"/>
                <w:i/>
                <w:sz w:val="24"/>
                <w:szCs w:val="24"/>
              </w:rPr>
              <w:t>Назва</w:t>
            </w:r>
            <w:r w:rsidRPr="00E81300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7077" w:type="dxa"/>
          </w:tcPr>
          <w:p w14:paraId="3F99415B" w14:textId="1EBB2BBE" w:rsidR="00E94376" w:rsidRPr="00037B84" w:rsidRDefault="00443D7D" w:rsidP="0038262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BD2A7F" w:rsidRPr="00E14097">
              <w:rPr>
                <w:i/>
                <w:sz w:val="24"/>
                <w:szCs w:val="24"/>
              </w:rPr>
              <w:t>«БУДІНВЕСТ КМ»</w:t>
            </w:r>
            <w:r w:rsidR="00D37C9D" w:rsidRPr="00D37C9D">
              <w:rPr>
                <w:i/>
                <w:sz w:val="24"/>
                <w:szCs w:val="24"/>
              </w:rPr>
              <w:t xml:space="preserve"> </w:t>
            </w:r>
            <w:r w:rsidR="00D37C9D" w:rsidRPr="001D4FCD">
              <w:rPr>
                <w:i/>
                <w:sz w:val="24"/>
                <w:szCs w:val="24"/>
              </w:rPr>
              <w:t>(</w:t>
            </w:r>
            <w:r w:rsidR="00F05866" w:rsidRPr="00382620">
              <w:rPr>
                <w:i/>
                <w:sz w:val="24"/>
                <w:szCs w:val="24"/>
              </w:rPr>
              <w:t xml:space="preserve">ЄДРПОУ </w:t>
            </w:r>
            <w:r w:rsidR="00BD2A7F" w:rsidRPr="00382620">
              <w:rPr>
                <w:i/>
                <w:sz w:val="24"/>
                <w:szCs w:val="19"/>
                <w:lang w:bidi="ar-SA"/>
              </w:rPr>
              <w:t>34427640</w:t>
            </w:r>
            <w:r w:rsidR="00D37C9D" w:rsidRPr="00382620">
              <w:rPr>
                <w:i/>
                <w:sz w:val="24"/>
                <w:szCs w:val="24"/>
              </w:rPr>
              <w:t>)</w:t>
            </w:r>
            <w:r w:rsidR="00382620">
              <w:rPr>
                <w:i/>
                <w:sz w:val="24"/>
                <w:szCs w:val="24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B25D95">
        <w:trPr>
          <w:cantSplit/>
          <w:trHeight w:val="943"/>
        </w:trPr>
        <w:tc>
          <w:tcPr>
            <w:tcW w:w="2562" w:type="dxa"/>
          </w:tcPr>
          <w:p w14:paraId="7311DA8C" w14:textId="4551A528" w:rsidR="00E94376" w:rsidRPr="00E81300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443D7D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443D7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443D7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3840313" w:rsidR="007812BA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077" w:type="dxa"/>
          </w:tcPr>
          <w:p w14:paraId="1978FFC9" w14:textId="6C7277E9" w:rsidR="00443D7D" w:rsidRPr="00443D7D" w:rsidRDefault="00443D7D" w:rsidP="00443D7D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443D7D">
              <w:rPr>
                <w:i/>
                <w:sz w:val="24"/>
                <w:szCs w:val="24"/>
              </w:rPr>
              <w:t>овариство з обмеженою відповідальністю "ЕНЕРГІЯ МК"</w:t>
            </w:r>
            <w:r>
              <w:rPr>
                <w:i/>
                <w:sz w:val="24"/>
                <w:szCs w:val="24"/>
              </w:rPr>
              <w:t>, код ЄДРПОУ</w:t>
            </w:r>
            <w:r w:rsidRPr="00443D7D">
              <w:rPr>
                <w:i/>
                <w:sz w:val="24"/>
                <w:szCs w:val="24"/>
              </w:rPr>
              <w:t>: 32048169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443D7D">
              <w:rPr>
                <w:i/>
                <w:sz w:val="24"/>
                <w:szCs w:val="24"/>
              </w:rPr>
              <w:t xml:space="preserve">Україна, 03194, місто Київ, вул. </w:t>
            </w:r>
            <w:r>
              <w:rPr>
                <w:i/>
                <w:sz w:val="24"/>
                <w:szCs w:val="24"/>
              </w:rPr>
              <w:t>З</w:t>
            </w:r>
            <w:r w:rsidRPr="00443D7D">
              <w:rPr>
                <w:i/>
                <w:sz w:val="24"/>
                <w:szCs w:val="24"/>
              </w:rPr>
              <w:t>одчих, будинок 6-А, квартира 16</w:t>
            </w:r>
          </w:p>
          <w:p w14:paraId="6643096C" w14:textId="420DD1E3" w:rsidR="00E94376" w:rsidRPr="00D37C9D" w:rsidRDefault="00443D7D" w:rsidP="00443D7D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443D7D">
              <w:rPr>
                <w:i/>
                <w:sz w:val="24"/>
                <w:szCs w:val="24"/>
              </w:rPr>
              <w:t>овариство з обмеженою відповідальністю "ДКС"</w:t>
            </w:r>
            <w:r>
              <w:rPr>
                <w:i/>
                <w:sz w:val="24"/>
                <w:szCs w:val="24"/>
              </w:rPr>
              <w:t>, код ЄДРПОУ</w:t>
            </w:r>
            <w:r w:rsidRPr="00443D7D">
              <w:rPr>
                <w:i/>
                <w:sz w:val="24"/>
                <w:szCs w:val="24"/>
              </w:rPr>
              <w:t>: 30153341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443D7D">
              <w:rPr>
                <w:i/>
                <w:sz w:val="24"/>
                <w:szCs w:val="24"/>
              </w:rPr>
              <w:t>Україна, 01030, місто Київ, вул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443D7D">
              <w:rPr>
                <w:i/>
                <w:sz w:val="24"/>
                <w:szCs w:val="24"/>
              </w:rPr>
              <w:t>Богдана Хмельницького, будинок 44</w:t>
            </w:r>
          </w:p>
        </w:tc>
      </w:tr>
      <w:tr w:rsidR="00E94376" w:rsidRPr="00037B84" w14:paraId="24430AF2" w14:textId="77777777" w:rsidTr="00443D7D">
        <w:trPr>
          <w:cantSplit/>
          <w:trHeight w:val="854"/>
        </w:trPr>
        <w:tc>
          <w:tcPr>
            <w:tcW w:w="2562" w:type="dxa"/>
          </w:tcPr>
          <w:p w14:paraId="77839F60" w14:textId="77777777" w:rsidR="0049177F" w:rsidRPr="00443D7D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Кінцевий </w:t>
            </w: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2044B5F" w14:textId="77777777" w:rsidR="0049177F" w:rsidRPr="00443D7D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бенефіціарний власник </w:t>
            </w: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7F7364" w14:textId="09CC6850" w:rsidR="00E94376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7077" w:type="dxa"/>
          </w:tcPr>
          <w:p w14:paraId="1C7A8B69" w14:textId="5BF03F4F" w:rsidR="00E94376" w:rsidRPr="00D37C9D" w:rsidRDefault="00443D7D" w:rsidP="00443D7D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43D7D">
              <w:rPr>
                <w:i/>
                <w:sz w:val="24"/>
                <w:szCs w:val="24"/>
              </w:rPr>
              <w:t>Фогт Сільвіо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443D7D">
              <w:rPr>
                <w:i/>
                <w:sz w:val="24"/>
                <w:szCs w:val="24"/>
              </w:rPr>
              <w:t>Ліхтенштейн, місто Вадуц, вулиця Аубюндт.</w:t>
            </w:r>
          </w:p>
        </w:tc>
      </w:tr>
      <w:tr w:rsidR="00E94376" w:rsidRPr="00037B84" w14:paraId="55A3895A" w14:textId="77777777" w:rsidTr="00B25D95">
        <w:trPr>
          <w:cantSplit/>
          <w:trHeight w:val="267"/>
        </w:trPr>
        <w:tc>
          <w:tcPr>
            <w:tcW w:w="2562" w:type="dxa"/>
          </w:tcPr>
          <w:p w14:paraId="3B07AA8D" w14:textId="01CA6EA7" w:rsidR="00E94376" w:rsidRPr="00E81300" w:rsidRDefault="0049177F" w:rsidP="00B25D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 w:rsidRPr="00443D7D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7077" w:type="dxa"/>
          </w:tcPr>
          <w:p w14:paraId="3026A563" w14:textId="6F13DA69" w:rsidR="00E94376" w:rsidRPr="00037B84" w:rsidRDefault="00E94376" w:rsidP="00E044D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37B84">
              <w:rPr>
                <w:i/>
                <w:sz w:val="24"/>
                <w:szCs w:val="24"/>
              </w:rPr>
              <w:t>від</w:t>
            </w:r>
            <w:r w:rsidRPr="00037B84">
              <w:rPr>
                <w:b w:val="0"/>
                <w:sz w:val="24"/>
                <w:szCs w:val="24"/>
              </w:rPr>
              <w:t xml:space="preserve"> </w:t>
            </w:r>
            <w:r w:rsidR="00410FCE" w:rsidRPr="00410FCE">
              <w:rPr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23.02.2022</w:t>
            </w:r>
            <w:r w:rsidR="00410FCE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D37C9D" w:rsidRPr="00D37C9D">
              <w:rPr>
                <w:i/>
                <w:sz w:val="24"/>
                <w:szCs w:val="24"/>
              </w:rPr>
              <w:t>№</w:t>
            </w:r>
            <w:r w:rsidR="00D37C9D" w:rsidRPr="004825B8">
              <w:rPr>
                <w:i/>
                <w:sz w:val="24"/>
                <w:szCs w:val="24"/>
              </w:rPr>
              <w:t xml:space="preserve"> </w:t>
            </w:r>
            <w:r w:rsidR="00BD2A7F" w:rsidRPr="004825B8">
              <w:rPr>
                <w:i/>
                <w:sz w:val="24"/>
                <w:szCs w:val="24"/>
              </w:rPr>
              <w:t>691440576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18CF39C7" w:rsidR="00617D3B" w:rsidRDefault="00E32953" w:rsidP="00E32953">
      <w:pPr>
        <w:pStyle w:val="a7"/>
        <w:shd w:val="clear" w:color="auto" w:fill="auto"/>
        <w:ind w:left="353" w:hanging="353"/>
        <w:rPr>
          <w:b w:val="0"/>
        </w:rPr>
      </w:pPr>
      <w:r w:rsidRPr="00037B84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60E8488E" w14:textId="77777777" w:rsidR="00E32953" w:rsidRDefault="00E32953" w:rsidP="00E32953">
      <w:pPr>
        <w:pStyle w:val="a7"/>
        <w:shd w:val="clear" w:color="auto" w:fill="auto"/>
        <w:ind w:left="353" w:hanging="353"/>
        <w:rPr>
          <w:sz w:val="24"/>
          <w:szCs w:val="24"/>
        </w:rPr>
      </w:pPr>
    </w:p>
    <w:p w14:paraId="7B3D4257" w14:textId="31301CEF" w:rsidR="0090349D" w:rsidRPr="00760DB8" w:rsidRDefault="007B72F8" w:rsidP="00760DB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 xml:space="preserve">Відомості про земельну ділянку (№ </w:t>
      </w:r>
      <w:r w:rsidR="00BD2A7F" w:rsidRPr="00E14097">
        <w:rPr>
          <w:sz w:val="24"/>
          <w:szCs w:val="24"/>
        </w:rPr>
        <w:t>8000000000:85:166:0003</w:t>
      </w:r>
      <w:r w:rsidRPr="00037B84">
        <w:rPr>
          <w:sz w:val="24"/>
          <w:szCs w:val="24"/>
        </w:rPr>
        <w:t>)</w:t>
      </w:r>
      <w:r w:rsidR="00FE7492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7087"/>
      </w:tblGrid>
      <w:tr w:rsidR="008A338E" w:rsidRPr="00037B84" w14:paraId="321C3785" w14:textId="77777777" w:rsidTr="00B25D95">
        <w:trPr>
          <w:trHeight w:val="498"/>
        </w:trPr>
        <w:tc>
          <w:tcPr>
            <w:tcW w:w="2547" w:type="dxa"/>
            <w:shd w:val="clear" w:color="auto" w:fill="FFFFFF"/>
          </w:tcPr>
          <w:p w14:paraId="6BE3A906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24"/>
                <w:szCs w:val="24"/>
              </w:rPr>
              <w:t xml:space="preserve">Місце розташування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16B62662" w14:textId="17D8416B" w:rsidR="008A338E" w:rsidRPr="007478D9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7087" w:type="dxa"/>
            <w:shd w:val="clear" w:color="auto" w:fill="FFFFFF"/>
          </w:tcPr>
          <w:p w14:paraId="64EB4E00" w14:textId="66469BEC" w:rsidR="008A338E" w:rsidRPr="00037B84" w:rsidRDefault="00E044D6" w:rsidP="00290C87">
            <w:pPr>
              <w:pStyle w:val="a4"/>
              <w:shd w:val="clear" w:color="auto" w:fill="auto"/>
              <w:spacing w:line="233" w:lineRule="auto"/>
              <w:ind w:left="130" w:right="139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вул. Вишгородська, 47-ж </w:t>
            </w:r>
            <w:r w:rsidR="00F05866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Подільському районі</w:t>
            </w:r>
          </w:p>
        </w:tc>
      </w:tr>
      <w:tr w:rsidR="008A338E" w:rsidRPr="00037B84" w14:paraId="333A0AB7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7F8ABF7B" w14:textId="5E52719F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443D7D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7087" w:type="dxa"/>
            <w:shd w:val="clear" w:color="auto" w:fill="FFFFFF"/>
          </w:tcPr>
          <w:p w14:paraId="08E0CD8B" w14:textId="1BA4FD45" w:rsidR="008A338E" w:rsidRPr="00037B84" w:rsidRDefault="00BD2A7F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1,0900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7B72F8" w:rsidRPr="00037B84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B25D95">
        <w:trPr>
          <w:trHeight w:val="560"/>
        </w:trPr>
        <w:tc>
          <w:tcPr>
            <w:tcW w:w="2547" w:type="dxa"/>
            <w:shd w:val="clear" w:color="auto" w:fill="FFFFFF"/>
          </w:tcPr>
          <w:p w14:paraId="56B2A2E9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 xml:space="preserve">Вид та термін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54B9D151" w14:textId="1E20B617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7087" w:type="dxa"/>
            <w:shd w:val="clear" w:color="auto" w:fill="FFFFFF"/>
          </w:tcPr>
          <w:p w14:paraId="779FEB29" w14:textId="43621FD9" w:rsidR="008A338E" w:rsidRPr="00905C1F" w:rsidRDefault="007A1480" w:rsidP="00C364C8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Оренда</w:t>
            </w:r>
            <w:r w:rsidR="00905C1F">
              <w:rPr>
                <w:b/>
                <w:i/>
                <w:sz w:val="24"/>
                <w:szCs w:val="24"/>
                <w:lang w:val="ru-RU"/>
              </w:rPr>
              <w:t xml:space="preserve"> на </w:t>
            </w:r>
            <w:r w:rsidR="00905C1F" w:rsidRPr="00443D7D">
              <w:rPr>
                <w:b/>
                <w:i/>
                <w:sz w:val="24"/>
                <w:szCs w:val="24"/>
                <w:lang w:val="ru-RU"/>
              </w:rPr>
              <w:t>5 років</w:t>
            </w:r>
            <w:r w:rsidR="00905C1F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905C1F">
              <w:rPr>
                <w:b/>
                <w:i/>
                <w:sz w:val="24"/>
                <w:szCs w:val="24"/>
              </w:rPr>
              <w:t>(відмова у поновленні)</w:t>
            </w:r>
          </w:p>
        </w:tc>
      </w:tr>
      <w:tr w:rsidR="006764C8" w:rsidRPr="00037B84" w14:paraId="31A0509D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1AF37BE7" w14:textId="010E5E67" w:rsidR="006764C8" w:rsidRPr="00E81300" w:rsidRDefault="003B262D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087" w:type="dxa"/>
            <w:shd w:val="clear" w:color="auto" w:fill="FFFFFF"/>
          </w:tcPr>
          <w:p w14:paraId="09E50292" w14:textId="2B12FB0C" w:rsidR="006764C8" w:rsidRPr="00BD2A7F" w:rsidRDefault="003B262D" w:rsidP="003B262D">
            <w:pPr>
              <w:pStyle w:val="a4"/>
              <w:shd w:val="clear" w:color="auto" w:fill="auto"/>
              <w:ind w:left="130" w:right="139"/>
              <w:jc w:val="both"/>
              <w:rPr>
                <w:b/>
                <w:i/>
                <w:sz w:val="24"/>
                <w:szCs w:val="24"/>
              </w:rPr>
            </w:pPr>
            <w:r w:rsidRPr="003B262D">
              <w:rPr>
                <w:b/>
                <w:i/>
                <w:sz w:val="24"/>
                <w:szCs w:val="24"/>
              </w:rPr>
              <w:t xml:space="preserve">02.02 </w:t>
            </w:r>
            <w:r>
              <w:rPr>
                <w:b/>
                <w:i/>
                <w:sz w:val="24"/>
                <w:szCs w:val="24"/>
              </w:rPr>
              <w:t xml:space="preserve">- </w:t>
            </w:r>
            <w:r w:rsidRPr="003B262D">
              <w:rPr>
                <w:b/>
                <w:i/>
                <w:sz w:val="24"/>
                <w:szCs w:val="24"/>
              </w:rPr>
              <w:t xml:space="preserve">для колективного житлового будівництва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764C8" w:rsidRPr="00D37C9D">
              <w:rPr>
                <w:b/>
                <w:i/>
                <w:sz w:val="24"/>
                <w:szCs w:val="24"/>
              </w:rPr>
              <w:t xml:space="preserve">для </w:t>
            </w:r>
            <w:r w:rsidR="00BD2A7F" w:rsidRPr="00443D7D">
              <w:rPr>
                <w:b/>
                <w:i/>
                <w:sz w:val="24"/>
                <w:szCs w:val="24"/>
                <w:lang w:val="ru-RU"/>
              </w:rPr>
              <w:t>будівництва, експлуатації та обслуговування житлового будинку з об'єктами соціально-громадського призначення та підземним паркінгом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  <w:r w:rsidR="00BD2A7F" w:rsidRPr="00443D7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6764C8" w:rsidRPr="00037B84" w14:paraId="3D299986" w14:textId="77777777" w:rsidTr="00B25D95">
        <w:trPr>
          <w:trHeight w:val="654"/>
        </w:trPr>
        <w:tc>
          <w:tcPr>
            <w:tcW w:w="2547" w:type="dxa"/>
            <w:shd w:val="clear" w:color="auto" w:fill="FFFFFF"/>
            <w:vAlign w:val="bottom"/>
          </w:tcPr>
          <w:p w14:paraId="762EC8C9" w14:textId="77777777" w:rsidR="0049177F" w:rsidRPr="0049177F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7BD9AFB1" w:rsidR="006764C8" w:rsidRPr="00E81300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>оцінка</w:t>
            </w:r>
          </w:p>
          <w:p w14:paraId="435422E1" w14:textId="6936100F" w:rsidR="006764C8" w:rsidRPr="00037B84" w:rsidRDefault="0049177F" w:rsidP="00E81300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49177F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E81300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7087" w:type="dxa"/>
            <w:shd w:val="clear" w:color="auto" w:fill="FFFFFF"/>
            <w:vAlign w:val="bottom"/>
          </w:tcPr>
          <w:p w14:paraId="0DCAEE6E" w14:textId="3B8269CA" w:rsidR="00F05866" w:rsidRPr="007478D9" w:rsidRDefault="00216573" w:rsidP="00546EE1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546EE1">
              <w:rPr>
                <w:b/>
                <w:i/>
                <w:sz w:val="24"/>
                <w:szCs w:val="24"/>
                <w:shd w:val="clear" w:color="auto" w:fill="FFFFFF"/>
              </w:rPr>
              <w:t>15 146</w:t>
            </w:r>
            <w:r w:rsidR="00546EE1" w:rsidRPr="00546EE1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546EE1">
              <w:rPr>
                <w:b/>
                <w:i/>
                <w:sz w:val="24"/>
                <w:szCs w:val="24"/>
                <w:shd w:val="clear" w:color="auto" w:fill="FFFFFF"/>
              </w:rPr>
              <w:t>877</w:t>
            </w:r>
            <w:r w:rsidR="00546EE1" w:rsidRPr="00546EE1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546EE1">
              <w:rPr>
                <w:b/>
                <w:i/>
                <w:sz w:val="24"/>
                <w:szCs w:val="24"/>
                <w:shd w:val="clear" w:color="auto" w:fill="FFFFFF"/>
              </w:rPr>
              <w:t>94</w:t>
            </w:r>
            <w:r w:rsidR="00546EE1" w:rsidRPr="00546EE1"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</w:t>
            </w:r>
          </w:p>
        </w:tc>
      </w:tr>
    </w:tbl>
    <w:p w14:paraId="1EE201F4" w14:textId="4A345171" w:rsidR="008A338E" w:rsidRPr="00553E8C" w:rsidRDefault="0049406D" w:rsidP="00E32953">
      <w:pPr>
        <w:pStyle w:val="a4"/>
        <w:shd w:val="clear" w:color="auto" w:fill="auto"/>
        <w:spacing w:after="100" w:line="269" w:lineRule="auto"/>
        <w:ind w:right="141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7B72F8" w:rsidRPr="00553E8C">
        <w:rPr>
          <w:sz w:val="18"/>
          <w:szCs w:val="18"/>
        </w:rPr>
        <w:t xml:space="preserve">Наведені розрахунки нормативної грошової оцінки не є остаточними і будуть уточнені відповідно до вимог законодавства при </w:t>
      </w:r>
      <w:r w:rsidR="007478D9">
        <w:rPr>
          <w:sz w:val="18"/>
          <w:szCs w:val="18"/>
        </w:rPr>
        <w:t>оформленні</w:t>
      </w:r>
      <w:r w:rsidR="007B72F8" w:rsidRPr="00553E8C">
        <w:rPr>
          <w:sz w:val="18"/>
          <w:szCs w:val="18"/>
        </w:rPr>
        <w:t xml:space="preserve"> прав</w:t>
      </w:r>
      <w:r w:rsidR="007478D9">
        <w:rPr>
          <w:sz w:val="18"/>
          <w:szCs w:val="18"/>
        </w:rPr>
        <w:t>а</w:t>
      </w:r>
      <w:r w:rsidR="007B72F8" w:rsidRPr="00553E8C">
        <w:rPr>
          <w:sz w:val="18"/>
          <w:szCs w:val="18"/>
        </w:rPr>
        <w:t xml:space="preserve"> на зем</w:t>
      </w:r>
      <w:r w:rsidR="007478D9">
        <w:rPr>
          <w:sz w:val="18"/>
          <w:szCs w:val="18"/>
        </w:rPr>
        <w:t>ельну ділянку</w:t>
      </w:r>
      <w:r w:rsidR="007B72F8" w:rsidRPr="00553E8C">
        <w:rPr>
          <w:sz w:val="18"/>
          <w:szCs w:val="18"/>
        </w:rPr>
        <w:t>.</w:t>
      </w:r>
    </w:p>
    <w:p w14:paraId="5F719EF1" w14:textId="08D018CF" w:rsidR="008A338E" w:rsidRPr="00037B84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FE7492">
        <w:rPr>
          <w:b/>
          <w:bCs/>
          <w:i w:val="0"/>
          <w:iCs w:val="0"/>
          <w:sz w:val="24"/>
          <w:szCs w:val="24"/>
        </w:rPr>
        <w:t>.</w:t>
      </w:r>
    </w:p>
    <w:p w14:paraId="7FAFAB7E" w14:textId="3DABA0AE" w:rsidR="00823CCF" w:rsidRPr="00037B84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>
        <w:rPr>
          <w:i w:val="0"/>
          <w:sz w:val="24"/>
          <w:szCs w:val="24"/>
        </w:rPr>
        <w:t xml:space="preserve">                      </w:t>
      </w:r>
      <w:r w:rsidRPr="00037B84">
        <w:rPr>
          <w:i w:val="0"/>
          <w:sz w:val="24"/>
          <w:szCs w:val="24"/>
        </w:rPr>
        <w:t>від 20</w:t>
      </w:r>
      <w:r w:rsidR="00410FCE">
        <w:rPr>
          <w:i w:val="0"/>
          <w:sz w:val="24"/>
          <w:szCs w:val="24"/>
        </w:rPr>
        <w:t>.04.</w:t>
      </w:r>
      <w:r w:rsidRPr="00037B84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>
        <w:rPr>
          <w:i w:val="0"/>
          <w:sz w:val="24"/>
          <w:szCs w:val="24"/>
        </w:rPr>
        <w:t>проєкт</w:t>
      </w:r>
      <w:r w:rsidRPr="00037B84">
        <w:rPr>
          <w:i w:val="0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553E8C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7090EB4" w14:textId="2E853DCF" w:rsidR="00823CCF" w:rsidRPr="00037B84" w:rsidRDefault="00F13EF1" w:rsidP="007972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13EF1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>
        <w:rPr>
          <w:i w:val="0"/>
          <w:sz w:val="24"/>
          <w:szCs w:val="24"/>
        </w:rPr>
        <w:t>відмову у поновленні</w:t>
      </w:r>
      <w:r w:rsidR="000C1779" w:rsidRPr="007901DB">
        <w:rPr>
          <w:i w:val="0"/>
          <w:sz w:val="24"/>
          <w:szCs w:val="24"/>
        </w:rPr>
        <w:t xml:space="preserve"> </w:t>
      </w:r>
      <w:r w:rsidRPr="00F13EF1">
        <w:rPr>
          <w:i w:val="0"/>
          <w:sz w:val="24"/>
          <w:szCs w:val="24"/>
        </w:rPr>
        <w:t>договору оренди у зв’язку з</w:t>
      </w:r>
      <w:r>
        <w:rPr>
          <w:i w:val="0"/>
          <w:sz w:val="24"/>
          <w:szCs w:val="24"/>
        </w:rPr>
        <w:t xml:space="preserve"> порушенням орендарем його умов</w:t>
      </w:r>
      <w:r w:rsidR="00823CCF" w:rsidRPr="00F13EF1">
        <w:rPr>
          <w:i w:val="0"/>
          <w:sz w:val="24"/>
          <w:szCs w:val="24"/>
        </w:rPr>
        <w:t>.</w:t>
      </w:r>
    </w:p>
    <w:p w14:paraId="7185D61F" w14:textId="77777777" w:rsidR="00823CCF" w:rsidRPr="00037B84" w:rsidRDefault="00823CCF" w:rsidP="004070FF">
      <w:pPr>
        <w:pStyle w:val="1"/>
        <w:shd w:val="clear" w:color="auto" w:fill="auto"/>
        <w:ind w:right="283" w:firstLine="440"/>
        <w:jc w:val="both"/>
        <w:rPr>
          <w:sz w:val="24"/>
          <w:szCs w:val="24"/>
        </w:rPr>
      </w:pPr>
    </w:p>
    <w:p w14:paraId="0A90576E" w14:textId="361B9C10" w:rsidR="0090349D" w:rsidRPr="00037B84" w:rsidRDefault="00823CCF" w:rsidP="00FB754A">
      <w:pPr>
        <w:pStyle w:val="a7"/>
        <w:shd w:val="clear" w:color="auto" w:fill="auto"/>
        <w:ind w:firstLine="440"/>
        <w:rPr>
          <w:sz w:val="24"/>
          <w:szCs w:val="24"/>
        </w:rPr>
      </w:pPr>
      <w:r w:rsidRPr="00037B84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816"/>
        <w:gridCol w:w="6818"/>
      </w:tblGrid>
      <w:tr w:rsidR="00823CCF" w:rsidRPr="00037B84" w14:paraId="3425DFB0" w14:textId="77777777" w:rsidTr="00797225">
        <w:trPr>
          <w:cantSplit/>
          <w:trHeight w:val="1374"/>
        </w:trPr>
        <w:tc>
          <w:tcPr>
            <w:tcW w:w="2816" w:type="dxa"/>
          </w:tcPr>
          <w:p w14:paraId="62A0DDEA" w14:textId="77777777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>Наявність будівель і споруд на ділянці:</w:t>
            </w:r>
          </w:p>
        </w:tc>
        <w:tc>
          <w:tcPr>
            <w:tcW w:w="6818" w:type="dxa"/>
          </w:tcPr>
          <w:p w14:paraId="1F764E5D" w14:textId="3131ACB5" w:rsidR="00823CCF" w:rsidRPr="00382620" w:rsidRDefault="000C1779" w:rsidP="00AB3A2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Вільна від капітальної забудови</w:t>
            </w:r>
            <w:r w:rsidR="00D328B3" w:rsidRPr="00382620">
              <w:rPr>
                <w:b w:val="0"/>
                <w:i/>
                <w:sz w:val="24"/>
                <w:szCs w:val="24"/>
              </w:rPr>
              <w:t>.</w:t>
            </w:r>
            <w:r w:rsidR="00D37C9D" w:rsidRPr="0038262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06E57A9" w14:textId="20E64602" w:rsidR="00F947EF" w:rsidRPr="00382620" w:rsidRDefault="003703F7" w:rsidP="00C364C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Під час обстеження встановлено, що зазначена земельна ділянка не використовується, на її частині розташовано об’єкт інженерної інфраструктури, решта вкрита зеленими насадженнями (акт від 25.05.2022 № 22-0107/07)</w:t>
            </w:r>
          </w:p>
        </w:tc>
      </w:tr>
      <w:tr w:rsidR="00823CCF" w:rsidRPr="00037B84" w14:paraId="411B143D" w14:textId="77777777" w:rsidTr="00382620">
        <w:trPr>
          <w:cantSplit/>
          <w:trHeight w:val="440"/>
        </w:trPr>
        <w:tc>
          <w:tcPr>
            <w:tcW w:w="2816" w:type="dxa"/>
          </w:tcPr>
          <w:p w14:paraId="2C032EFE" w14:textId="77777777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18" w:type="dxa"/>
          </w:tcPr>
          <w:p w14:paraId="112E87C4" w14:textId="50711BA8" w:rsidR="00823CCF" w:rsidRPr="00382620" w:rsidRDefault="00D328B3" w:rsidP="007B1E04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Детальний план території не затверджено</w:t>
            </w:r>
            <w:r w:rsidR="00FE7492" w:rsidRPr="00382620">
              <w:rPr>
                <w:b w:val="0"/>
                <w:i/>
                <w:sz w:val="24"/>
                <w:szCs w:val="24"/>
              </w:rPr>
              <w:t>.</w:t>
            </w:r>
            <w:r w:rsidR="00E81300" w:rsidRPr="00382620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B25D95">
        <w:trPr>
          <w:cantSplit/>
          <w:trHeight w:val="561"/>
        </w:trPr>
        <w:tc>
          <w:tcPr>
            <w:tcW w:w="2816" w:type="dxa"/>
          </w:tcPr>
          <w:p w14:paraId="46E43E2E" w14:textId="77777777" w:rsidR="00823CCF" w:rsidRPr="00037B84" w:rsidRDefault="00823CCF" w:rsidP="00E752DA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lastRenderedPageBreak/>
              <w:t>Функціональне</w:t>
            </w:r>
            <w:r w:rsidR="00037B84" w:rsidRPr="00FE74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>
              <w:rPr>
                <w:b w:val="0"/>
                <w:i/>
                <w:sz w:val="24"/>
                <w:szCs w:val="24"/>
                <w:lang w:val="ru-RU"/>
              </w:rPr>
              <w:t>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58F4323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37B84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301A8F" w:rsidRPr="00301A8F">
              <w:rPr>
                <w:b w:val="0"/>
                <w:i/>
                <w:sz w:val="24"/>
                <w:szCs w:val="24"/>
              </w:rPr>
              <w:t>з Генпланом</w:t>
            </w:r>
            <w:r w:rsidR="00301A8F" w:rsidRPr="00301A8F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818" w:type="dxa"/>
          </w:tcPr>
          <w:p w14:paraId="49BF4673" w14:textId="1B1C1348" w:rsidR="00823CCF" w:rsidRPr="00382620" w:rsidRDefault="005F7B63" w:rsidP="00797225">
            <w:pPr>
              <w:pStyle w:val="a7"/>
              <w:shd w:val="clear" w:color="auto" w:fill="auto"/>
              <w:ind w:right="-113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Території громадських будівель та споруд.</w:t>
            </w:r>
          </w:p>
        </w:tc>
      </w:tr>
      <w:tr w:rsidR="00823CCF" w:rsidRPr="00037B84" w14:paraId="529B325E" w14:textId="77777777" w:rsidTr="0033117F">
        <w:trPr>
          <w:cantSplit/>
          <w:trHeight w:val="1421"/>
        </w:trPr>
        <w:tc>
          <w:tcPr>
            <w:tcW w:w="2816" w:type="dxa"/>
          </w:tcPr>
          <w:p w14:paraId="453148E1" w14:textId="5A130BE7" w:rsidR="00823CCF" w:rsidRPr="00037B84" w:rsidRDefault="0049177F" w:rsidP="00797225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5F7B6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18" w:type="dxa"/>
          </w:tcPr>
          <w:p w14:paraId="1DFA89DA" w14:textId="76C2BB6F" w:rsidR="00D36656" w:rsidRDefault="00D36656" w:rsidP="00AB3A2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Києва. </w:t>
            </w:r>
          </w:p>
          <w:p w14:paraId="279D944D" w14:textId="2910C31C" w:rsidR="00382620" w:rsidRPr="00382620" w:rsidRDefault="00382620" w:rsidP="00AB3A2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Згідно з відомостями Державного земельного кадастру:</w:t>
            </w:r>
          </w:p>
          <w:p w14:paraId="0EC5BAC8" w14:textId="54B35E5E" w:rsidR="00823CCF" w:rsidRPr="0033117F" w:rsidRDefault="00E81300" w:rsidP="0033117F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  <w:lang w:val="ru-RU" w:bidi="ar-SA"/>
              </w:rPr>
            </w:pPr>
            <w:r w:rsidRPr="00382620">
              <w:rPr>
                <w:b w:val="0"/>
                <w:i/>
                <w:sz w:val="24"/>
                <w:szCs w:val="24"/>
              </w:rPr>
              <w:t xml:space="preserve">категорія земель - </w:t>
            </w:r>
            <w:r w:rsidR="00E044D6" w:rsidRPr="0038262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житлової та громадської забудови</w:t>
            </w:r>
            <w:r w:rsidR="0033117F">
              <w:rPr>
                <w:b w:val="0"/>
                <w:i/>
                <w:color w:val="auto"/>
                <w:sz w:val="24"/>
                <w:szCs w:val="24"/>
                <w:lang w:val="ru-RU" w:bidi="ar-SA"/>
              </w:rPr>
              <w:t xml:space="preserve">;   </w:t>
            </w:r>
            <w:r w:rsidR="0033117F">
              <w:rPr>
                <w:b w:val="0"/>
                <w:i/>
                <w:sz w:val="24"/>
                <w:szCs w:val="24"/>
              </w:rPr>
              <w:t xml:space="preserve"> к</w:t>
            </w:r>
            <w:r w:rsidR="0033117F" w:rsidRPr="00382620">
              <w:rPr>
                <w:b w:val="0"/>
                <w:i/>
                <w:sz w:val="24"/>
                <w:szCs w:val="24"/>
              </w:rPr>
              <w:t xml:space="preserve">од виду цільового призначення - </w:t>
            </w:r>
            <w:r w:rsidR="0033117F" w:rsidRPr="00382620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02.02</w:t>
            </w:r>
            <w:r w:rsidR="0033117F">
              <w:rPr>
                <w:b w:val="0"/>
              </w:rPr>
              <w:t>.</w:t>
            </w:r>
          </w:p>
        </w:tc>
      </w:tr>
      <w:tr w:rsidR="00823CCF" w:rsidRPr="00037B84" w14:paraId="03F8D26F" w14:textId="77777777" w:rsidTr="00B25D95">
        <w:trPr>
          <w:cantSplit/>
          <w:trHeight w:val="1434"/>
        </w:trPr>
        <w:tc>
          <w:tcPr>
            <w:tcW w:w="2816" w:type="dxa"/>
          </w:tcPr>
          <w:p w14:paraId="7ED45AEC" w14:textId="77777777" w:rsidR="0049177F" w:rsidRDefault="0049177F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443D7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 </w:t>
            </w:r>
          </w:p>
          <w:p w14:paraId="26E82454" w14:textId="3029450B" w:rsidR="00823CCF" w:rsidRPr="00037B84" w:rsidRDefault="0049177F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818" w:type="dxa"/>
          </w:tcPr>
          <w:p w14:paraId="32C67EBC" w14:textId="6DD0FA2B" w:rsidR="00823CCF" w:rsidRPr="00382620" w:rsidRDefault="00382620" w:rsidP="007B1E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82620">
              <w:rPr>
                <w:b w:val="0"/>
                <w:i/>
                <w:sz w:val="24"/>
                <w:szCs w:val="24"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382620" w:rsidRPr="00037B84" w14:paraId="57223F7B" w14:textId="77777777" w:rsidTr="00B25D95">
        <w:trPr>
          <w:cantSplit/>
          <w:trHeight w:val="1434"/>
        </w:trPr>
        <w:tc>
          <w:tcPr>
            <w:tcW w:w="2816" w:type="dxa"/>
          </w:tcPr>
          <w:p w14:paraId="3839571B" w14:textId="57FE88B1" w:rsidR="00382620" w:rsidRPr="00443D7D" w:rsidRDefault="00382620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382620">
              <w:rPr>
                <w:b w:val="0"/>
                <w:i/>
                <w:sz w:val="24"/>
                <w:szCs w:val="24"/>
                <w:lang w:val="ru-RU"/>
              </w:rPr>
              <w:t>Інші особливості:</w:t>
            </w:r>
          </w:p>
        </w:tc>
        <w:tc>
          <w:tcPr>
            <w:tcW w:w="6818" w:type="dxa"/>
          </w:tcPr>
          <w:p w14:paraId="4B666BC8" w14:textId="3FA20C4C" w:rsidR="00382620" w:rsidRPr="00A2312D" w:rsidRDefault="00382620" w:rsidP="00382620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A2312D">
              <w:rPr>
                <w:rFonts w:ascii="Times New Roman" w:hAnsi="Times New Roman" w:cs="Times New Roman"/>
                <w:i/>
                <w:lang w:val="uk-UA"/>
              </w:rPr>
              <w:t xml:space="preserve">На підставі рішення Київської міської ради від 25.01.2007 </w:t>
            </w:r>
            <w:r w:rsidR="002B77B3">
              <w:rPr>
                <w:rFonts w:ascii="Times New Roman" w:hAnsi="Times New Roman" w:cs="Times New Roman"/>
                <w:i/>
                <w:lang w:val="uk-UA"/>
              </w:rPr>
              <w:t xml:space="preserve">                       </w:t>
            </w:r>
            <w:r w:rsidRPr="00A2312D">
              <w:rPr>
                <w:rFonts w:ascii="Times New Roman" w:hAnsi="Times New Roman" w:cs="Times New Roman"/>
                <w:i/>
                <w:lang w:val="uk-UA"/>
              </w:rPr>
              <w:t xml:space="preserve">№ 51/712 між Київською міською радою та ТОВ «Київське будівельне підприємство № 3» на 5 років укладено договір оренди вказаної земельної ділянки від 14.08.2007 № 85-6-00341. </w:t>
            </w:r>
          </w:p>
          <w:p w14:paraId="3341C0DB" w14:textId="2B24FC91" w:rsidR="00382620" w:rsidRPr="00A2312D" w:rsidRDefault="00382620" w:rsidP="00382620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A2312D">
              <w:rPr>
                <w:rFonts w:ascii="Times New Roman" w:hAnsi="Times New Roman" w:cs="Times New Roman"/>
                <w:i/>
                <w:lang w:val="uk-UA"/>
              </w:rPr>
              <w:t>Відповідно до заяв ТОВ «БУДІНВЕСТ КМ» від 02.02.2012 № 654 та ТОВ  «Київське будівельне підприємство № 3» від 03.02.2012 № 101 та доданих до них матеріалів, Київською міською радою прийнято рішення від 12.07.2012 № 934/8271 щодо поновлення на 5 років вказаного договору оренди та внесен</w:t>
            </w:r>
            <w:r w:rsidR="00C364C8">
              <w:rPr>
                <w:rFonts w:ascii="Times New Roman" w:hAnsi="Times New Roman" w:cs="Times New Roman"/>
                <w:i/>
                <w:lang w:val="uk-UA"/>
              </w:rPr>
              <w:t>ня</w:t>
            </w:r>
            <w:r w:rsidRPr="00A2312D">
              <w:rPr>
                <w:rFonts w:ascii="Times New Roman" w:hAnsi="Times New Roman" w:cs="Times New Roman"/>
                <w:i/>
                <w:lang w:val="uk-UA"/>
              </w:rPr>
              <w:t xml:space="preserve"> до нього змін в частині землекористувача, а саме: слова «Київське будівельне підприємство №3» замінено словами «БУДІНВЕСТ КМ». </w:t>
            </w:r>
          </w:p>
          <w:p w14:paraId="7C906C4B" w14:textId="77777777" w:rsidR="00382620" w:rsidRPr="00A2312D" w:rsidRDefault="00382620" w:rsidP="00382620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A2312D">
              <w:rPr>
                <w:rFonts w:ascii="Times New Roman" w:hAnsi="Times New Roman" w:cs="Times New Roman"/>
                <w:i/>
                <w:color w:val="auto"/>
                <w:lang w:bidi="ar-SA"/>
              </w:rPr>
              <w:t>На підставі вказаного рішення укладено угоду про поновлення та внесення змін від 29.05.2017 № 155.</w:t>
            </w:r>
          </w:p>
          <w:p w14:paraId="4B97782D" w14:textId="119C4997" w:rsidR="00382620" w:rsidRPr="00A2312D" w:rsidRDefault="00382620" w:rsidP="00382620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  <w:r w:rsidRPr="00A2312D">
              <w:rPr>
                <w:rFonts w:ascii="Times New Roman" w:hAnsi="Times New Roman" w:cs="Times New Roman"/>
                <w:i/>
                <w:lang w:val="uk-UA" w:bidi="uk-UA"/>
              </w:rPr>
              <w:t>Термін дії договору – до 29.05.2022.</w:t>
            </w:r>
          </w:p>
          <w:p w14:paraId="0CEA24CD" w14:textId="6D108B87" w:rsidR="00382620" w:rsidRDefault="00382620" w:rsidP="00382620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В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раховуючи те,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що орендар поруш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ував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положення п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.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11.4 договору оренди, а саме: використову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вав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земельну ділянку способами,</w:t>
            </w:r>
            <w:r w:rsidR="00C364C8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зокрема,</w:t>
            </w:r>
            <w:r w:rsidRPr="00A2312D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які суперечать екологічним вимогам та систематично (протягом 4 років) не сплачував орендну плату,  з метою збереження зелених насаджень та покращення благоустрою міста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, </w:t>
            </w:r>
            <w:r w:rsidRPr="007B1E0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Київською міською радою прийнято рішення від 12.12.2019 № 446/8019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, яким</w:t>
            </w:r>
            <w:r w:rsidRPr="007B1E0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розірван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о</w:t>
            </w:r>
            <w:r w:rsidRPr="007B1E0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вказаний договір</w:t>
            </w:r>
            <w:r w:rsidR="002C524A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оренди </w:t>
            </w:r>
            <w:r w:rsidRPr="002227FC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та вирішено розробити проєкт землеустрою щодо відведення (зміни цільового призначення) земельної ділянки для благоустрою пам'ятки природи «Крістерова Гірка» </w:t>
            </w:r>
            <w:r w:rsidRPr="002227FC">
              <w:rPr>
                <w:rFonts w:ascii="Times New Roman" w:eastAsia="Times New Roman" w:hAnsi="Times New Roman" w:cs="Times New Roman"/>
                <w:bCs/>
                <w:i/>
                <w:iCs/>
                <w:lang w:val="uk-UA" w:eastAsia="ru-RU"/>
              </w:rPr>
              <w:t>(</w:t>
            </w:r>
            <w:r w:rsidRPr="002227FC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код КВЦПЗ – 04.10 для збереження та використання пам'яток природи).</w:t>
            </w:r>
          </w:p>
          <w:p w14:paraId="315DD138" w14:textId="25764073" w:rsidR="00382620" w:rsidRDefault="003B262D" w:rsidP="00382620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На підставі цього рішення</w:t>
            </w:r>
            <w:r w:rsidR="00382620" w:rsidRPr="00382620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до Державного реєстру речових прав на нерухоме майно 08.01.2020 внесено запис про припинення права оренди Товариству вказаної земельної ділянки.</w:t>
            </w:r>
          </w:p>
          <w:p w14:paraId="0ACF8B5E" w14:textId="77777777" w:rsidR="00382620" w:rsidRPr="00382620" w:rsidRDefault="00382620" w:rsidP="007B1E0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6764C8" w:rsidRPr="00037B84" w14:paraId="50B2A436" w14:textId="77777777" w:rsidTr="00382620">
        <w:trPr>
          <w:cantSplit/>
          <w:trHeight w:val="865"/>
        </w:trPr>
        <w:tc>
          <w:tcPr>
            <w:tcW w:w="2816" w:type="dxa"/>
          </w:tcPr>
          <w:p w14:paraId="75005E4B" w14:textId="061296ED" w:rsidR="006764C8" w:rsidRPr="006764C8" w:rsidRDefault="006764C8" w:rsidP="00797225">
            <w:pPr>
              <w:pStyle w:val="a7"/>
              <w:ind w:left="-120"/>
              <w:rPr>
                <w:b w:val="0"/>
                <w:sz w:val="24"/>
                <w:szCs w:val="24"/>
              </w:rPr>
            </w:pPr>
          </w:p>
        </w:tc>
        <w:tc>
          <w:tcPr>
            <w:tcW w:w="6818" w:type="dxa"/>
          </w:tcPr>
          <w:p w14:paraId="46CDEEA4" w14:textId="67FC5EB2" w:rsidR="006D6282" w:rsidRPr="006D6282" w:rsidRDefault="006D6282" w:rsidP="00AB3A22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Також підготовлено та передано на розгляд до Київської міської ради проєкт рішення «</w:t>
            </w:r>
            <w:r w:rsidRPr="006D628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Про надання Київському комунальному об’єднанню зеленого будівництва та експлуатації зелених насаджень міста «Київзеленбуд» дозволу на розроблення проєкту землеустрою щодо відведення земельної ділянки у постійне користування для збереження та використання пам'яток природи для благоустрою пам'ятки природи «Крістерова Гірка» на вул. Вишгородській, 47-ж у Подільському районі міста Києва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»</w:t>
            </w:r>
            <w:r w:rsidR="00382620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 </w:t>
            </w:r>
            <w:r w:rsidR="00382620" w:rsidRPr="00382620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від 18.06.2020 № 08/231-1555/ПР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.</w:t>
            </w:r>
          </w:p>
          <w:p w14:paraId="042A2692" w14:textId="64AE7047" w:rsidR="00D26564" w:rsidRPr="00D26564" w:rsidRDefault="00D26564" w:rsidP="00AB3A22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  <w:r w:rsidRPr="00D26564">
              <w:rPr>
                <w:rFonts w:ascii="Times New Roman" w:hAnsi="Times New Roman" w:cs="Times New Roman"/>
                <w:i/>
                <w:lang w:val="uk-UA" w:bidi="uk-UA"/>
              </w:rPr>
              <w:t xml:space="preserve">За позовом Товариства рішенням </w:t>
            </w:r>
            <w:r w:rsidR="00382620">
              <w:rPr>
                <w:rFonts w:ascii="Times New Roman" w:hAnsi="Times New Roman" w:cs="Times New Roman"/>
                <w:i/>
                <w:lang w:val="uk-UA" w:bidi="uk-UA"/>
              </w:rPr>
              <w:t xml:space="preserve"> </w:t>
            </w:r>
            <w:r w:rsidRPr="00D26564">
              <w:rPr>
                <w:rFonts w:ascii="Times New Roman" w:hAnsi="Times New Roman" w:cs="Times New Roman"/>
                <w:i/>
                <w:lang w:val="uk-UA" w:bidi="uk-UA"/>
              </w:rPr>
              <w:t>Господарського суду м. Києва від 23.11.2020 у справі №  910/3359/20, залишеним без змін постановою Північного апеляційного господарського суду від 02.09.2021 та постановою Верховного Суду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</w:t>
            </w:r>
            <w:r w:rsidRPr="00D26564">
              <w:rPr>
                <w:rFonts w:ascii="Times New Roman" w:hAnsi="Times New Roman" w:cs="Times New Roman"/>
                <w:i/>
                <w:lang w:val="uk-UA" w:bidi="uk-UA"/>
              </w:rPr>
              <w:t>від 14.12.2021, зокрема</w:t>
            </w:r>
            <w:r w:rsidR="003B262D">
              <w:rPr>
                <w:rFonts w:ascii="Times New Roman" w:hAnsi="Times New Roman" w:cs="Times New Roman"/>
                <w:i/>
                <w:lang w:val="uk-UA" w:bidi="uk-UA"/>
              </w:rPr>
              <w:t>,</w:t>
            </w:r>
            <w:r w:rsidRPr="00D26564">
              <w:rPr>
                <w:rFonts w:ascii="Times New Roman" w:hAnsi="Times New Roman" w:cs="Times New Roman"/>
                <w:i/>
                <w:lang w:val="uk-UA" w:bidi="uk-UA"/>
              </w:rPr>
              <w:t xml:space="preserve"> визнано протиправним та скасовано рішення Київської міської</w:t>
            </w:r>
            <w:r w:rsidR="00382620">
              <w:rPr>
                <w:rFonts w:ascii="Times New Roman" w:hAnsi="Times New Roman" w:cs="Times New Roman"/>
                <w:i/>
                <w:lang w:val="uk-UA" w:bidi="uk-UA"/>
              </w:rPr>
              <w:t xml:space="preserve"> ради № 446/8019 від 12.12.2019.</w:t>
            </w:r>
          </w:p>
          <w:p w14:paraId="7456A2E5" w14:textId="77777777" w:rsidR="00382620" w:rsidRDefault="00382620" w:rsidP="0007092F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lang w:val="uk-UA" w:bidi="uk-UA"/>
              </w:rPr>
            </w:pPr>
            <w:r w:rsidRPr="00382620">
              <w:rPr>
                <w:rFonts w:ascii="Times New Roman" w:hAnsi="Times New Roman" w:cs="Times New Roman"/>
                <w:i/>
                <w:lang w:val="uk-UA" w:bidi="uk-UA"/>
              </w:rPr>
              <w:t>Відповідно до інформації, розміщеної на офіційному вебсайті ДПС України, станом на 01.11.2021 Товариство до переліку суб’єктів, які мають податковий борг до місцевого бюджету, не включено</w:t>
            </w:r>
            <w:r w:rsidRPr="00382620">
              <w:rPr>
                <w:rFonts w:ascii="Times New Roman" w:hAnsi="Times New Roman" w:cs="Times New Roman"/>
                <w:b/>
                <w:i/>
                <w:lang w:val="uk-UA" w:bidi="uk-UA"/>
              </w:rPr>
              <w:t>.</w:t>
            </w:r>
          </w:p>
          <w:p w14:paraId="2A2E63AD" w14:textId="1C15331D" w:rsidR="00674DF9" w:rsidRPr="00382620" w:rsidRDefault="0007092F" w:rsidP="0007092F">
            <w:pPr>
              <w:pStyle w:val="ParagraphStyle"/>
              <w:jc w:val="both"/>
              <w:rPr>
                <w:lang w:val="uk-UA"/>
              </w:rPr>
            </w:pPr>
            <w:r w:rsidRPr="00382620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367E164" w14:textId="77777777" w:rsidR="00823CCF" w:rsidRPr="00037B84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33E9724" w14:textId="77777777" w:rsidR="00823CCF" w:rsidRPr="00037B84" w:rsidRDefault="00823CCF" w:rsidP="00823CCF">
      <w:pPr>
        <w:spacing w:after="59" w:line="1" w:lineRule="exact"/>
        <w:rPr>
          <w:rFonts w:ascii="Times New Roman" w:hAnsi="Times New Roman" w:cs="Times New Roman"/>
        </w:rPr>
      </w:pPr>
    </w:p>
    <w:p w14:paraId="13390371" w14:textId="2DFE9303" w:rsidR="00823CCF" w:rsidRPr="00037B84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Загальні засади та </w:t>
      </w:r>
      <w:r w:rsidR="007478D9">
        <w:rPr>
          <w:i w:val="0"/>
          <w:sz w:val="24"/>
          <w:szCs w:val="24"/>
        </w:rPr>
        <w:t xml:space="preserve">право на відмову </w:t>
      </w:r>
      <w:r w:rsidR="00E81300">
        <w:rPr>
          <w:i w:val="0"/>
          <w:sz w:val="24"/>
          <w:szCs w:val="24"/>
        </w:rPr>
        <w:t>у поновленні</w:t>
      </w:r>
      <w:r w:rsidRPr="007901DB">
        <w:rPr>
          <w:i w:val="0"/>
          <w:sz w:val="24"/>
          <w:szCs w:val="24"/>
        </w:rPr>
        <w:t xml:space="preserve"> договорів оренди земель</w:t>
      </w:r>
      <w:r>
        <w:rPr>
          <w:i w:val="0"/>
          <w:sz w:val="24"/>
          <w:szCs w:val="24"/>
        </w:rPr>
        <w:t>н</w:t>
      </w:r>
      <w:r w:rsidRPr="007901DB">
        <w:rPr>
          <w:i w:val="0"/>
          <w:sz w:val="24"/>
          <w:szCs w:val="24"/>
        </w:rPr>
        <w:t>их ділянок визначено Земельним кодексом України та Законом України «Про оренду землі».</w:t>
      </w:r>
    </w:p>
    <w:p w14:paraId="164B843E" w14:textId="77777777" w:rsidR="009E2B7E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sz w:val="24"/>
          <w:szCs w:val="24"/>
        </w:rPr>
      </w:pPr>
    </w:p>
    <w:p w14:paraId="4B0392C0" w14:textId="77777777" w:rsidR="00A92410" w:rsidRPr="00A92410" w:rsidRDefault="00A92410" w:rsidP="00A92410">
      <w:pPr>
        <w:spacing w:line="230" w:lineRule="auto"/>
        <w:ind w:firstLine="426"/>
        <w:rPr>
          <w:rFonts w:ascii="Times New Roman" w:eastAsia="Times New Roman" w:hAnsi="Times New Roman" w:cs="Times New Roman"/>
          <w:iCs/>
          <w:color w:val="auto"/>
        </w:rPr>
      </w:pPr>
      <w:r w:rsidRPr="00A92410">
        <w:rPr>
          <w:rFonts w:ascii="Times New Roman" w:eastAsia="Times New Roman" w:hAnsi="Times New Roman" w:cs="Times New Roman"/>
          <w:b/>
          <w:bCs/>
          <w:iCs/>
          <w:color w:val="auto"/>
        </w:rPr>
        <w:t>7. Фінансово-економічне обґрунтування.</w:t>
      </w:r>
    </w:p>
    <w:p w14:paraId="6321B341" w14:textId="77777777" w:rsidR="00A92410" w:rsidRPr="00A92410" w:rsidRDefault="00A92410" w:rsidP="00A92410">
      <w:pPr>
        <w:spacing w:line="230" w:lineRule="auto"/>
        <w:ind w:firstLine="426"/>
        <w:rPr>
          <w:rFonts w:ascii="Times New Roman" w:eastAsia="Times New Roman" w:hAnsi="Times New Roman" w:cs="Times New Roman"/>
          <w:iCs/>
          <w:color w:val="auto"/>
        </w:rPr>
      </w:pPr>
      <w:r w:rsidRPr="00A92410">
        <w:rPr>
          <w:rFonts w:ascii="Times New Roman" w:eastAsia="Times New Roman" w:hAnsi="Times New Roman" w:cs="Times New Roman"/>
          <w:iCs/>
          <w:color w:val="auto"/>
        </w:rPr>
        <w:t>Реалізація рішення не потребує додаткових витрат міського бюджету.</w:t>
      </w:r>
    </w:p>
    <w:p w14:paraId="7DA94DE0" w14:textId="69B75CF7" w:rsidR="00823CCF" w:rsidRPr="00546EE1" w:rsidRDefault="00A92410" w:rsidP="00546EE1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b/>
          <w:i/>
          <w:iCs/>
          <w:color w:val="auto"/>
        </w:rPr>
      </w:pPr>
      <w:r w:rsidRPr="00A92410">
        <w:rPr>
          <w:rFonts w:ascii="Times New Roman" w:eastAsia="Times New Roman" w:hAnsi="Times New Roman" w:cs="Times New Roman"/>
          <w:iCs/>
          <w:color w:val="auto"/>
        </w:rPr>
        <w:t xml:space="preserve">Відповідно до Податкового кодексу України та рішення Київської міської ради                              від 09.12.2021 № 3704/3745 «Про бюджет міста Києва на 2022 рік» орієнтовний розмір річної орендної плати складає: </w:t>
      </w:r>
      <w:r w:rsidRPr="00A92410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</w:t>
      </w:r>
      <w:r w:rsidR="00546EE1" w:rsidRPr="00546EE1">
        <w:rPr>
          <w:rFonts w:ascii="Times New Roman" w:eastAsia="Times New Roman" w:hAnsi="Times New Roman" w:cs="Times New Roman"/>
          <w:b/>
          <w:i/>
          <w:iCs/>
          <w:color w:val="auto"/>
        </w:rPr>
        <w:t>605 875 грн 12 коп. (4%)</w:t>
      </w:r>
    </w:p>
    <w:p w14:paraId="3A766272" w14:textId="77777777" w:rsidR="00546EE1" w:rsidRPr="00546EE1" w:rsidRDefault="00546EE1" w:rsidP="00546EE1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iCs/>
          <w:color w:val="auto"/>
        </w:rPr>
      </w:pPr>
    </w:p>
    <w:p w14:paraId="631D9824" w14:textId="77777777" w:rsidR="00823CCF" w:rsidRPr="00553E8C" w:rsidRDefault="00823CCF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19210A7" w14:textId="0564BF18" w:rsidR="007901DB" w:rsidRPr="00037B84" w:rsidRDefault="007901DB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Наслідками прийняття розробленого </w:t>
      </w:r>
      <w:r w:rsidR="0026050A">
        <w:rPr>
          <w:i w:val="0"/>
          <w:sz w:val="24"/>
          <w:szCs w:val="24"/>
        </w:rPr>
        <w:t>проєкт</w:t>
      </w:r>
      <w:r w:rsidRPr="007901DB">
        <w:rPr>
          <w:i w:val="0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>
        <w:rPr>
          <w:i w:val="0"/>
          <w:sz w:val="24"/>
          <w:szCs w:val="24"/>
        </w:rPr>
        <w:t xml:space="preserve"> орендодавця</w:t>
      </w:r>
      <w:r w:rsidRPr="007901DB">
        <w:rPr>
          <w:i w:val="0"/>
          <w:sz w:val="24"/>
          <w:szCs w:val="24"/>
        </w:rPr>
        <w:t xml:space="preserve"> на</w:t>
      </w:r>
      <w:r w:rsidR="00E81300" w:rsidRPr="00E81300">
        <w:rPr>
          <w:i w:val="0"/>
          <w:sz w:val="24"/>
          <w:szCs w:val="24"/>
        </w:rPr>
        <w:t xml:space="preserve"> </w:t>
      </w:r>
      <w:r w:rsidR="00E81300">
        <w:rPr>
          <w:i w:val="0"/>
          <w:sz w:val="24"/>
          <w:szCs w:val="24"/>
        </w:rPr>
        <w:t>відмову у поновленні</w:t>
      </w:r>
      <w:r w:rsidRPr="007901DB">
        <w:rPr>
          <w:i w:val="0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>
        <w:rPr>
          <w:i w:val="0"/>
          <w:sz w:val="24"/>
          <w:szCs w:val="24"/>
        </w:rPr>
        <w:t>.</w:t>
      </w:r>
    </w:p>
    <w:p w14:paraId="76D45D29" w14:textId="45F87A87" w:rsidR="00C87024" w:rsidRPr="00CE1294" w:rsidRDefault="00823CCF" w:rsidP="00B25D95">
      <w:pPr>
        <w:pStyle w:val="22"/>
        <w:shd w:val="clear" w:color="auto" w:fill="auto"/>
        <w:spacing w:after="0"/>
        <w:ind w:firstLine="280"/>
        <w:contextualSpacing/>
        <w:jc w:val="left"/>
        <w:rPr>
          <w:rStyle w:val="ae"/>
          <w:b w:val="0"/>
          <w:i w:val="0"/>
          <w:sz w:val="20"/>
          <w:szCs w:val="20"/>
          <w:lang w:val="ru-RU"/>
        </w:rPr>
      </w:pPr>
      <w:r w:rsidRPr="00C241ED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443D7D">
        <w:rPr>
          <w:rStyle w:val="ae"/>
          <w:b w:val="0"/>
          <w:i w:val="0"/>
          <w:sz w:val="20"/>
          <w:szCs w:val="20"/>
          <w:lang w:val="ru-RU"/>
        </w:rPr>
        <w:t>Валентина ПЕЛИХ</w:t>
      </w:r>
    </w:p>
    <w:p w14:paraId="402E6C43" w14:textId="23F6B1A7" w:rsidR="00C87024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p w14:paraId="4A0A23C4" w14:textId="77777777" w:rsidR="00F41EC4" w:rsidRPr="00C517C4" w:rsidRDefault="00F41EC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01EDE8AE" w14:textId="13F276EE" w:rsidR="007B3222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7B3222">
              <w:rPr>
                <w:rStyle w:val="ae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8A05406" w14:textId="4D9C669B" w:rsidR="007B3222" w:rsidRPr="00741AC9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741AC9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Sect="007972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567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54758" w14:textId="77777777" w:rsidR="00DF6D3F" w:rsidRDefault="00DF6D3F">
      <w:r>
        <w:separator/>
      </w:r>
    </w:p>
  </w:endnote>
  <w:endnote w:type="continuationSeparator" w:id="0">
    <w:p w14:paraId="7C37CDA0" w14:textId="77777777" w:rsidR="00DF6D3F" w:rsidRDefault="00DF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BD6B" w14:textId="77777777" w:rsidR="00997C3E" w:rsidRDefault="00997C3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4563" w14:textId="77777777" w:rsidR="00997C3E" w:rsidRDefault="00997C3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054A5" w14:textId="77777777" w:rsidR="00DF6D3F" w:rsidRDefault="00DF6D3F"/>
  </w:footnote>
  <w:footnote w:type="continuationSeparator" w:id="0">
    <w:p w14:paraId="32A45E6C" w14:textId="77777777" w:rsidR="00DF6D3F" w:rsidRDefault="00DF6D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BF395" w14:textId="77777777" w:rsidR="00997C3E" w:rsidRDefault="00997C3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60865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43BCB8B3" w:rsidR="0070323B" w:rsidRPr="00CE1294" w:rsidRDefault="00997C3E" w:rsidP="00997C3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 w:rsidRPr="00443D7D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443D7D">
          <w:rPr>
            <w:i w:val="0"/>
            <w:sz w:val="12"/>
            <w:szCs w:val="12"/>
            <w:lang w:val="ru-RU"/>
          </w:rPr>
          <w:t>-41332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443D7D">
          <w:rPr>
            <w:i w:val="0"/>
            <w:sz w:val="12"/>
            <w:szCs w:val="12"/>
            <w:lang w:val="ru-RU"/>
          </w:rPr>
          <w:t>07.06.2022</w:t>
        </w:r>
        <w:r w:rsidR="0070323B" w:rsidRPr="00800A09">
          <w:rPr>
            <w:i w:val="0"/>
            <w:sz w:val="12"/>
            <w:szCs w:val="12"/>
          </w:rPr>
          <w:t xml:space="preserve"> до клопотання </w:t>
        </w:r>
        <w:r w:rsidR="00CE1294" w:rsidRPr="00443D7D">
          <w:rPr>
            <w:i w:val="0"/>
            <w:sz w:val="12"/>
            <w:szCs w:val="12"/>
            <w:lang w:val="ru-RU"/>
          </w:rPr>
          <w:t>691440576</w:t>
        </w:r>
      </w:p>
      <w:p w14:paraId="0BF67CBB" w14:textId="75ACA251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55A5C" w:rsidRPr="00955A5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FC9D" w14:textId="77777777" w:rsidR="00997C3E" w:rsidRDefault="00997C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14A32"/>
    <w:rsid w:val="00021C00"/>
    <w:rsid w:val="00037B84"/>
    <w:rsid w:val="000502C7"/>
    <w:rsid w:val="000620A3"/>
    <w:rsid w:val="0007092F"/>
    <w:rsid w:val="00077408"/>
    <w:rsid w:val="000B0F4B"/>
    <w:rsid w:val="000B1E81"/>
    <w:rsid w:val="000C1779"/>
    <w:rsid w:val="000C7B1F"/>
    <w:rsid w:val="000E2C5B"/>
    <w:rsid w:val="00106A0E"/>
    <w:rsid w:val="00133E0C"/>
    <w:rsid w:val="001461CC"/>
    <w:rsid w:val="001702E3"/>
    <w:rsid w:val="0019590C"/>
    <w:rsid w:val="001D065F"/>
    <w:rsid w:val="001D29C3"/>
    <w:rsid w:val="001D4FCD"/>
    <w:rsid w:val="001D7910"/>
    <w:rsid w:val="001E09C8"/>
    <w:rsid w:val="001F6A9F"/>
    <w:rsid w:val="00216573"/>
    <w:rsid w:val="002227FC"/>
    <w:rsid w:val="0023241F"/>
    <w:rsid w:val="00233EC9"/>
    <w:rsid w:val="0025220F"/>
    <w:rsid w:val="0026050A"/>
    <w:rsid w:val="0027157C"/>
    <w:rsid w:val="00290C87"/>
    <w:rsid w:val="002B1314"/>
    <w:rsid w:val="002B77B3"/>
    <w:rsid w:val="002C4DEB"/>
    <w:rsid w:val="002C524A"/>
    <w:rsid w:val="002C5AE9"/>
    <w:rsid w:val="002D306E"/>
    <w:rsid w:val="002E296C"/>
    <w:rsid w:val="00301A8F"/>
    <w:rsid w:val="00330527"/>
    <w:rsid w:val="0033117F"/>
    <w:rsid w:val="00333098"/>
    <w:rsid w:val="003703F7"/>
    <w:rsid w:val="00371C0B"/>
    <w:rsid w:val="00382620"/>
    <w:rsid w:val="003B262D"/>
    <w:rsid w:val="003B2E64"/>
    <w:rsid w:val="003D4C7E"/>
    <w:rsid w:val="003E1B2C"/>
    <w:rsid w:val="004050E8"/>
    <w:rsid w:val="004070FF"/>
    <w:rsid w:val="00410FCE"/>
    <w:rsid w:val="00443D7D"/>
    <w:rsid w:val="0045563D"/>
    <w:rsid w:val="0046581A"/>
    <w:rsid w:val="004825B8"/>
    <w:rsid w:val="0049177F"/>
    <w:rsid w:val="0049406D"/>
    <w:rsid w:val="00495DE6"/>
    <w:rsid w:val="004C58DD"/>
    <w:rsid w:val="004D51B7"/>
    <w:rsid w:val="00503800"/>
    <w:rsid w:val="005153EF"/>
    <w:rsid w:val="005156AF"/>
    <w:rsid w:val="00543C2B"/>
    <w:rsid w:val="00543CE1"/>
    <w:rsid w:val="00546EE1"/>
    <w:rsid w:val="00551AA1"/>
    <w:rsid w:val="00553E8C"/>
    <w:rsid w:val="005863BF"/>
    <w:rsid w:val="005A1CA5"/>
    <w:rsid w:val="005B2FD0"/>
    <w:rsid w:val="005F25CC"/>
    <w:rsid w:val="005F7B63"/>
    <w:rsid w:val="006025CE"/>
    <w:rsid w:val="006077D4"/>
    <w:rsid w:val="00617D3B"/>
    <w:rsid w:val="00641A5F"/>
    <w:rsid w:val="00662672"/>
    <w:rsid w:val="00674DF9"/>
    <w:rsid w:val="006764C8"/>
    <w:rsid w:val="006C2523"/>
    <w:rsid w:val="006D6282"/>
    <w:rsid w:val="006E16C7"/>
    <w:rsid w:val="006E4202"/>
    <w:rsid w:val="0070323B"/>
    <w:rsid w:val="007051BC"/>
    <w:rsid w:val="00714CB9"/>
    <w:rsid w:val="00741AC9"/>
    <w:rsid w:val="007478D9"/>
    <w:rsid w:val="00760DB8"/>
    <w:rsid w:val="00776292"/>
    <w:rsid w:val="007812BA"/>
    <w:rsid w:val="007901DB"/>
    <w:rsid w:val="0079066A"/>
    <w:rsid w:val="00797225"/>
    <w:rsid w:val="007A1480"/>
    <w:rsid w:val="007A381D"/>
    <w:rsid w:val="007B1E04"/>
    <w:rsid w:val="007B3222"/>
    <w:rsid w:val="007B72F8"/>
    <w:rsid w:val="00800A09"/>
    <w:rsid w:val="00815498"/>
    <w:rsid w:val="00823CCF"/>
    <w:rsid w:val="008359E3"/>
    <w:rsid w:val="0084710E"/>
    <w:rsid w:val="008471E4"/>
    <w:rsid w:val="00856C95"/>
    <w:rsid w:val="00862828"/>
    <w:rsid w:val="00873FAA"/>
    <w:rsid w:val="008A2C8C"/>
    <w:rsid w:val="008A338E"/>
    <w:rsid w:val="008E1F22"/>
    <w:rsid w:val="008F0B34"/>
    <w:rsid w:val="0090349D"/>
    <w:rsid w:val="00905C1F"/>
    <w:rsid w:val="0092729D"/>
    <w:rsid w:val="00945B96"/>
    <w:rsid w:val="00955A5C"/>
    <w:rsid w:val="00997C3E"/>
    <w:rsid w:val="009B2A30"/>
    <w:rsid w:val="009E2B7E"/>
    <w:rsid w:val="009F0D03"/>
    <w:rsid w:val="009F4C72"/>
    <w:rsid w:val="00A2312D"/>
    <w:rsid w:val="00A26962"/>
    <w:rsid w:val="00A32C03"/>
    <w:rsid w:val="00A6308E"/>
    <w:rsid w:val="00A92410"/>
    <w:rsid w:val="00AA1C09"/>
    <w:rsid w:val="00AB3A22"/>
    <w:rsid w:val="00AB6E47"/>
    <w:rsid w:val="00AD6678"/>
    <w:rsid w:val="00AE5CCC"/>
    <w:rsid w:val="00B14A9A"/>
    <w:rsid w:val="00B17F43"/>
    <w:rsid w:val="00B25D95"/>
    <w:rsid w:val="00B53DAA"/>
    <w:rsid w:val="00B667EA"/>
    <w:rsid w:val="00B734EF"/>
    <w:rsid w:val="00B736BD"/>
    <w:rsid w:val="00B75EAF"/>
    <w:rsid w:val="00B82614"/>
    <w:rsid w:val="00BB20D8"/>
    <w:rsid w:val="00BC29D7"/>
    <w:rsid w:val="00BD2A7F"/>
    <w:rsid w:val="00C241ED"/>
    <w:rsid w:val="00C364C8"/>
    <w:rsid w:val="00C46615"/>
    <w:rsid w:val="00C46B9F"/>
    <w:rsid w:val="00C517C4"/>
    <w:rsid w:val="00C51D59"/>
    <w:rsid w:val="00C6011D"/>
    <w:rsid w:val="00C82C7A"/>
    <w:rsid w:val="00C87024"/>
    <w:rsid w:val="00C87AA9"/>
    <w:rsid w:val="00CE1294"/>
    <w:rsid w:val="00CF2164"/>
    <w:rsid w:val="00D07F02"/>
    <w:rsid w:val="00D11E13"/>
    <w:rsid w:val="00D22B98"/>
    <w:rsid w:val="00D2458C"/>
    <w:rsid w:val="00D26564"/>
    <w:rsid w:val="00D30EBA"/>
    <w:rsid w:val="00D328B3"/>
    <w:rsid w:val="00D33BC2"/>
    <w:rsid w:val="00D36656"/>
    <w:rsid w:val="00D37C9D"/>
    <w:rsid w:val="00D40637"/>
    <w:rsid w:val="00D534FE"/>
    <w:rsid w:val="00D55912"/>
    <w:rsid w:val="00D64174"/>
    <w:rsid w:val="00D6569C"/>
    <w:rsid w:val="00D72BB9"/>
    <w:rsid w:val="00D838DC"/>
    <w:rsid w:val="00DF6D3F"/>
    <w:rsid w:val="00E044D6"/>
    <w:rsid w:val="00E05220"/>
    <w:rsid w:val="00E248B9"/>
    <w:rsid w:val="00E32953"/>
    <w:rsid w:val="00E33902"/>
    <w:rsid w:val="00E33B1D"/>
    <w:rsid w:val="00E40910"/>
    <w:rsid w:val="00E622C3"/>
    <w:rsid w:val="00E81300"/>
    <w:rsid w:val="00E94376"/>
    <w:rsid w:val="00EA2B29"/>
    <w:rsid w:val="00ED41E5"/>
    <w:rsid w:val="00F05866"/>
    <w:rsid w:val="00F13EF1"/>
    <w:rsid w:val="00F23C73"/>
    <w:rsid w:val="00F41A93"/>
    <w:rsid w:val="00F41EC4"/>
    <w:rsid w:val="00F4426A"/>
    <w:rsid w:val="00F62C48"/>
    <w:rsid w:val="00F71828"/>
    <w:rsid w:val="00F81243"/>
    <w:rsid w:val="00F947EF"/>
    <w:rsid w:val="00FB754A"/>
    <w:rsid w:val="00FD6251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D5D8-32FE-4D45-AECD-0DEDFE45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7431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Земляк Олександр Володимирович</dc:creator>
  <cp:lastModifiedBy>Корнійчук Олеся Михайлівна</cp:lastModifiedBy>
  <cp:revision>2</cp:revision>
  <cp:lastPrinted>2022-06-10T05:44:00Z</cp:lastPrinted>
  <dcterms:created xsi:type="dcterms:W3CDTF">2022-06-29T04:53:00Z</dcterms:created>
  <dcterms:modified xsi:type="dcterms:W3CDTF">2022-06-29T04:53:00Z</dcterms:modified>
</cp:coreProperties>
</file>