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681050511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681050511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202567D8" w:rsidR="008A338E" w:rsidRPr="007D5762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7D5762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D23F012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7D5762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7D5762">
        <w:rPr>
          <w:b/>
          <w:bCs/>
          <w:i w:val="0"/>
          <w:iCs w:val="0"/>
          <w:sz w:val="24"/>
          <w:szCs w:val="24"/>
        </w:rPr>
        <w:t>ПЗ</w:t>
      </w:r>
      <w:r w:rsidR="00B87AD3" w:rsidRPr="007D5762">
        <w:rPr>
          <w:b/>
          <w:bCs/>
          <w:i w:val="0"/>
          <w:iCs w:val="0"/>
          <w:sz w:val="24"/>
          <w:szCs w:val="24"/>
        </w:rPr>
        <w:t>Н</w:t>
      </w:r>
      <w:r w:rsidR="00C55118" w:rsidRPr="007D5762">
        <w:rPr>
          <w:b/>
          <w:bCs/>
          <w:i w:val="0"/>
          <w:sz w:val="24"/>
          <w:szCs w:val="24"/>
        </w:rPr>
        <w:t>-52005</w:t>
      </w:r>
      <w:r w:rsidR="007B72F8" w:rsidRPr="007D5762">
        <w:rPr>
          <w:b/>
          <w:bCs/>
          <w:i w:val="0"/>
          <w:iCs w:val="0"/>
          <w:sz w:val="24"/>
          <w:szCs w:val="24"/>
        </w:rPr>
        <w:t xml:space="preserve"> від </w:t>
      </w:r>
      <w:r w:rsidR="007D5762" w:rsidRPr="007D5762">
        <w:rPr>
          <w:b/>
          <w:bCs/>
          <w:i w:val="0"/>
          <w:iCs w:val="0"/>
          <w:sz w:val="24"/>
          <w:szCs w:val="24"/>
        </w:rPr>
        <w:t>19</w:t>
      </w:r>
      <w:r w:rsidR="00C55118" w:rsidRPr="007D5762">
        <w:rPr>
          <w:b/>
          <w:bCs/>
          <w:i w:val="0"/>
          <w:sz w:val="24"/>
          <w:szCs w:val="24"/>
        </w:rPr>
        <w:t>.0</w:t>
      </w:r>
      <w:r w:rsidR="007D5762" w:rsidRPr="007D5762">
        <w:rPr>
          <w:b/>
          <w:bCs/>
          <w:i w:val="0"/>
          <w:sz w:val="24"/>
          <w:szCs w:val="24"/>
        </w:rPr>
        <w:t>6</w:t>
      </w:r>
      <w:r w:rsidR="00C55118" w:rsidRPr="007D5762">
        <w:rPr>
          <w:b/>
          <w:bCs/>
          <w:i w:val="0"/>
          <w:sz w:val="24"/>
          <w:szCs w:val="24"/>
        </w:rPr>
        <w:t>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76C9CD3D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 w:rsidRPr="00AF63C9">
        <w:rPr>
          <w:b/>
          <w:i/>
          <w:sz w:val="24"/>
          <w:szCs w:val="24"/>
        </w:rPr>
        <w:t xml:space="preserve">поновлення </w:t>
      </w:r>
      <w:r w:rsidR="00AF63C9" w:rsidRPr="00AF63C9">
        <w:rPr>
          <w:b/>
          <w:i/>
          <w:color w:val="auto"/>
          <w:sz w:val="24"/>
          <w:szCs w:val="24"/>
          <w:lang w:val="ru-RU" w:bidi="ar-SA"/>
        </w:rPr>
        <w:t xml:space="preserve">товариству з обмеженою відповідальністю </w:t>
      </w:r>
      <w:r w:rsidR="000B1E6A" w:rsidRPr="00AF63C9">
        <w:rPr>
          <w:b/>
          <w:i/>
          <w:color w:val="auto"/>
          <w:sz w:val="24"/>
          <w:szCs w:val="24"/>
          <w:lang w:val="ru-RU" w:bidi="ar-SA"/>
        </w:rPr>
        <w:t>«САВВАТС»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 xml:space="preserve">договору </w:t>
      </w:r>
      <w:r w:rsidR="00AF63C9">
        <w:rPr>
          <w:b/>
          <w:i/>
          <w:sz w:val="24"/>
          <w:szCs w:val="24"/>
        </w:rPr>
        <w:t xml:space="preserve">на право тимчасового довгострокового користування землею на умовах </w:t>
      </w:r>
      <w:r w:rsidRPr="00694D51">
        <w:rPr>
          <w:b/>
          <w:i/>
          <w:sz w:val="24"/>
          <w:szCs w:val="24"/>
        </w:rPr>
        <w:t>оренди</w:t>
      </w:r>
      <w:r w:rsidR="000B1E6A"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 xml:space="preserve">24 березня 1998 року </w:t>
      </w:r>
      <w:r w:rsidR="00AF63C9">
        <w:rPr>
          <w:b/>
          <w:i/>
          <w:iCs/>
          <w:sz w:val="24"/>
          <w:szCs w:val="24"/>
        </w:rPr>
        <w:t xml:space="preserve">                      </w:t>
      </w:r>
      <w:r w:rsidR="00531BB2" w:rsidRPr="00B2685F">
        <w:rPr>
          <w:b/>
          <w:i/>
          <w:iCs/>
          <w:sz w:val="24"/>
          <w:szCs w:val="24"/>
        </w:rPr>
        <w:t>№ 90-5-00036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70982835" w14:textId="77777777" w:rsidR="00E94376" w:rsidRDefault="00AF63C9" w:rsidP="00FF0A55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C55118" w:rsidRPr="00E14097">
              <w:rPr>
                <w:i/>
                <w:sz w:val="24"/>
                <w:szCs w:val="24"/>
              </w:rPr>
              <w:t>«САВВАТС»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AF63C9">
              <w:rPr>
                <w:i/>
                <w:sz w:val="24"/>
                <w:szCs w:val="24"/>
              </w:rPr>
              <w:t>(</w:t>
            </w:r>
            <w:r w:rsidR="00FF0A55" w:rsidRPr="00AF63C9">
              <w:rPr>
                <w:i/>
                <w:sz w:val="24"/>
                <w:szCs w:val="24"/>
              </w:rPr>
              <w:t>ЄДРПОУ</w:t>
            </w:r>
            <w:r w:rsidR="002B5778" w:rsidRPr="00AF63C9">
              <w:rPr>
                <w:i/>
                <w:sz w:val="24"/>
                <w:szCs w:val="24"/>
              </w:rPr>
              <w:t xml:space="preserve"> </w:t>
            </w:r>
            <w:r w:rsidR="000B1E6A" w:rsidRPr="00AF63C9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16305477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  <w:p w14:paraId="3F99415B" w14:textId="34B721CB" w:rsidR="00AF63C9" w:rsidRPr="000B1E6A" w:rsidRDefault="00AF63C9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AF63C9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AF63C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AF63C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AF63C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F0852B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F63C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29ACBEC8" w14:textId="0075CEC9" w:rsidR="00AF63C9" w:rsidRPr="00692A94" w:rsidRDefault="00AF63C9" w:rsidP="00AF63C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Товариство з обмеженою відповідальністю                            «АВА-ПРОФАЙЛ»</w:t>
            </w:r>
          </w:p>
          <w:p w14:paraId="0F01EA5D" w14:textId="5236D9C3" w:rsidR="00AF63C9" w:rsidRPr="00692A94" w:rsidRDefault="00AF63C9" w:rsidP="00AF63C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Польща, 02-972, місто Варшава,  вулиця Адама Браніцького, № 21, оф. U3Польща, 02-</w:t>
            </w:r>
            <w:hyperlink r:id="rId11" w:tooltip="Відкрити всі дані" w:history="1">
              <w:r w:rsidRPr="00692A94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112,</w:t>
              </w:r>
            </w:hyperlink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</w:t>
            </w:r>
          </w:p>
          <w:p w14:paraId="631FB846" w14:textId="77052027" w:rsidR="00AF63C9" w:rsidRPr="00692A94" w:rsidRDefault="00AF63C9" w:rsidP="00AF63C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місто Варшава, вулиця Адама Браніцького, № </w:t>
            </w:r>
            <w:hyperlink r:id="rId12" w:tooltip="Відкрити всі дані" w:history="1">
              <w:r w:rsidRPr="00692A94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21,</w:t>
              </w:r>
            </w:hyperlink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оф. U3</w:t>
            </w:r>
          </w:p>
          <w:p w14:paraId="52ED496B" w14:textId="77777777" w:rsidR="00AF63C9" w:rsidRPr="00692A94" w:rsidRDefault="00AF63C9" w:rsidP="00AF63C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396 000,00 грн</w:t>
            </w:r>
          </w:p>
          <w:p w14:paraId="74266E9A" w14:textId="34CF3DBB" w:rsidR="00AF63C9" w:rsidRPr="00692A94" w:rsidRDefault="00AF63C9" w:rsidP="00AF63C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99%</w:t>
            </w:r>
          </w:p>
          <w:p w14:paraId="016DF6E5" w14:textId="77777777" w:rsidR="00AF63C9" w:rsidRPr="00692A94" w:rsidRDefault="00AF63C9" w:rsidP="00AF63C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САВЧЕНКО ВАСИЛЬ ВАЛЕРІЙОВИЧ</w:t>
            </w:r>
          </w:p>
          <w:p w14:paraId="72A566DC" w14:textId="2B93F823" w:rsidR="00AF63C9" w:rsidRPr="00692A94" w:rsidRDefault="00AF63C9" w:rsidP="00AF63C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Україна, місто Київ, вул. Тополева</w:t>
            </w:r>
          </w:p>
          <w:p w14:paraId="4E68048D" w14:textId="77777777" w:rsidR="00AF63C9" w:rsidRPr="00692A94" w:rsidRDefault="00AF63C9" w:rsidP="00AF63C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4 000,00 грн</w:t>
            </w:r>
          </w:p>
          <w:p w14:paraId="0783798E" w14:textId="7E8196B7" w:rsidR="00AF63C9" w:rsidRPr="00692A94" w:rsidRDefault="00AF63C9" w:rsidP="00AF63C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692A94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1%</w:t>
            </w:r>
          </w:p>
          <w:p w14:paraId="6643096C" w14:textId="4AE40BFD" w:rsidR="00E94376" w:rsidRPr="00123E08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46F12FE1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79AA1EE0" w14:textId="69649938" w:rsidR="00AF63C9" w:rsidRPr="00AF63C9" w:rsidRDefault="00AF63C9" w:rsidP="00AF63C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AF63C9">
              <w:rPr>
                <w:rStyle w:val="name"/>
                <w:b/>
                <w:i/>
                <w:bdr w:val="none" w:sz="0" w:space="0" w:color="auto" w:frame="1"/>
              </w:rPr>
              <w:t>САВЧЕНКО ВАСИЛЬ ВАЛЕРІЙОВИЧ</w:t>
            </w:r>
            <w:r w:rsidRPr="00AF63C9">
              <w:rPr>
                <w:b/>
                <w:i/>
              </w:rPr>
              <w:br/>
              <w:t>Україна, місто Київ, вул.Тополева</w:t>
            </w:r>
          </w:p>
          <w:p w14:paraId="0E6F696B" w14:textId="77777777" w:rsidR="00AF63C9" w:rsidRPr="00AF63C9" w:rsidRDefault="00AF63C9" w:rsidP="00AF63C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AF63C9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AF63C9">
              <w:rPr>
                <w:b/>
                <w:i/>
              </w:rPr>
              <w:t>Не прямий вирішальний вплив</w:t>
            </w:r>
          </w:p>
          <w:p w14:paraId="632BF307" w14:textId="06C6BCFA" w:rsidR="00AF63C9" w:rsidRPr="00AF63C9" w:rsidRDefault="00AF63C9" w:rsidP="00AF63C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AF63C9">
              <w:rPr>
                <w:rStyle w:val="name"/>
                <w:b/>
                <w:i/>
                <w:bdr w:val="none" w:sz="0" w:space="0" w:color="auto" w:frame="1"/>
              </w:rPr>
              <w:t>САВЧЕНКО ОЛЕКСІЙ ВАСИЛЬОВИЧ</w:t>
            </w:r>
            <w:r w:rsidRPr="00AF63C9">
              <w:rPr>
                <w:b/>
                <w:i/>
              </w:rPr>
              <w:br/>
              <w:t>Україна, місто Київ, вул.Тополева</w:t>
            </w:r>
          </w:p>
          <w:p w14:paraId="2817467C" w14:textId="77777777" w:rsidR="00AF63C9" w:rsidRPr="00AF63C9" w:rsidRDefault="00AF63C9" w:rsidP="00AF63C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AF63C9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AF63C9">
              <w:rPr>
                <w:b/>
                <w:i/>
              </w:rPr>
              <w:t>Не прямий вирішальний вплив</w:t>
            </w:r>
          </w:p>
          <w:p w14:paraId="1C7A8B69" w14:textId="3FCB69E4" w:rsidR="00E94376" w:rsidRPr="00AF63C9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F63C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50C4D0A0" w:rsidR="00E94376" w:rsidRPr="00694D51" w:rsidRDefault="00E94376" w:rsidP="007D5762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24.01.2023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681050511</w:t>
            </w:r>
            <w:r w:rsidR="007D5762">
              <w:rPr>
                <w:b/>
                <w:i/>
                <w:sz w:val="24"/>
                <w:szCs w:val="24"/>
              </w:rPr>
              <w:t xml:space="preserve">, </w:t>
            </w:r>
            <w:r w:rsidR="007D5762" w:rsidRPr="007D5762">
              <w:rPr>
                <w:b/>
                <w:i/>
                <w:sz w:val="24"/>
                <w:szCs w:val="24"/>
              </w:rPr>
              <w:t>від 01.06.2023 № 01/06/2023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4A2BA4A" w:rsidR="006A19DF" w:rsidRDefault="00AF63C9" w:rsidP="00AF63C9">
      <w:pPr>
        <w:pStyle w:val="a7"/>
        <w:shd w:val="clear" w:color="auto" w:fill="auto"/>
        <w:ind w:left="353" w:hanging="35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8000000000:90:119:0014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пров. Мисливський у Голосіївському районі</w:t>
            </w:r>
          </w:p>
        </w:tc>
      </w:tr>
      <w:tr w:rsidR="008A338E" w:rsidRPr="00037B84" w14:paraId="333A0AB7" w14:textId="77777777" w:rsidTr="00F85426">
        <w:trPr>
          <w:trHeight w:val="349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F63C9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1,3917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F85426">
        <w:trPr>
          <w:trHeight w:val="439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F85426">
        <w:trPr>
          <w:trHeight w:val="1523"/>
        </w:trPr>
        <w:tc>
          <w:tcPr>
            <w:tcW w:w="2972" w:type="dxa"/>
            <w:shd w:val="clear" w:color="auto" w:fill="FFFFFF"/>
          </w:tcPr>
          <w:p w14:paraId="1AF37BE7" w14:textId="63D4C229" w:rsidR="006764C8" w:rsidRPr="00056A2A" w:rsidRDefault="00776E89" w:rsidP="00AF63C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AF63C9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5B023DA4" w:rsidR="006764C8" w:rsidRPr="00AF63C9" w:rsidRDefault="00AF63C9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F85426">
              <w:rPr>
                <w:b/>
                <w:i/>
                <w:color w:val="auto"/>
                <w:sz w:val="24"/>
                <w:szCs w:val="24"/>
              </w:rPr>
              <w:t>11.02</w:t>
            </w:r>
            <w:r w:rsidRPr="00F85426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F85426">
              <w:rPr>
                <w:b/>
                <w:i/>
                <w:color w:val="auto"/>
                <w:sz w:val="24"/>
                <w:szCs w:val="24"/>
              </w:rPr>
              <w:t xml:space="preserve"> (</w:t>
            </w:r>
            <w:r w:rsidR="00C55118" w:rsidRPr="00F85426">
              <w:rPr>
                <w:b/>
                <w:i/>
                <w:color w:val="auto"/>
                <w:sz w:val="24"/>
                <w:szCs w:val="24"/>
              </w:rPr>
              <w:t>для будівництва та експлуатації критих складів з цехами первинної переробки металопрокату</w:t>
            </w:r>
            <w:r w:rsidRPr="00F85426">
              <w:rPr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AF63C9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5770DA6D" w:rsidR="006D7E33" w:rsidRDefault="0001504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05CB5985" w:rsidR="006D7E33" w:rsidRPr="00056A2A" w:rsidRDefault="00015043" w:rsidP="00015043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692A94">
              <w:rPr>
                <w:b/>
                <w:i/>
                <w:color w:val="auto"/>
                <w:sz w:val="24"/>
                <w:szCs w:val="24"/>
                <w:lang w:val="ru-RU"/>
              </w:rPr>
              <w:t>18 191 974,07 грн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3AC5A1A2" w14:textId="77777777" w:rsidR="00F96F6C" w:rsidRDefault="00F96F6C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338267D3" w14:textId="77777777" w:rsidR="00F96F6C" w:rsidRDefault="00F96F6C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413AE15B" w14:textId="77777777" w:rsidR="00F96F6C" w:rsidRDefault="00F96F6C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25B2F100" w14:textId="77777777" w:rsidR="00F96F6C" w:rsidRDefault="00F96F6C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40375489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F7188">
        <w:trPr>
          <w:cantSplit/>
          <w:trHeight w:val="20"/>
        </w:trPr>
        <w:tc>
          <w:tcPr>
            <w:tcW w:w="2972" w:type="dxa"/>
          </w:tcPr>
          <w:p w14:paraId="09EACFBD" w14:textId="77777777" w:rsidR="00776E89" w:rsidRPr="00BF7188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 xml:space="preserve">Наявність будівель і </w:t>
            </w:r>
            <w:r w:rsidRPr="00BF7188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BF7188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CBFD49E" w14:textId="29062BBD" w:rsidR="00BF7188" w:rsidRPr="008145AF" w:rsidRDefault="00BF7188" w:rsidP="00BF718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145AF">
              <w:rPr>
                <w:b w:val="0"/>
                <w:i/>
                <w:sz w:val="24"/>
                <w:szCs w:val="24"/>
              </w:rPr>
              <w:t>Забудована. На земельній ділянці розміщується майновий комплекс нежитлових адміністративно-побутових</w:t>
            </w:r>
            <w:r w:rsidR="00004D73" w:rsidRPr="008145AF">
              <w:rPr>
                <w:b w:val="0"/>
                <w:i/>
                <w:sz w:val="24"/>
                <w:szCs w:val="24"/>
              </w:rPr>
              <w:t xml:space="preserve"> та побутових корпусів. Ділянка огороджена частково бетонним парканом </w:t>
            </w:r>
            <w:r w:rsidRPr="008145AF">
              <w:rPr>
                <w:b w:val="0"/>
                <w:i/>
                <w:sz w:val="24"/>
                <w:szCs w:val="24"/>
              </w:rPr>
              <w:t xml:space="preserve">(акт обстеження </w:t>
            </w:r>
            <w:r w:rsidR="00004D73" w:rsidRPr="008145AF">
              <w:rPr>
                <w:b w:val="0"/>
                <w:i/>
                <w:sz w:val="24"/>
                <w:szCs w:val="24"/>
              </w:rPr>
              <w:t>від 02.03.2023 № ДК/44-АО/2023</w:t>
            </w:r>
            <w:r w:rsidRPr="008145AF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08ED838C" w:rsidR="00823CCF" w:rsidRPr="00F96F6C" w:rsidRDefault="00BF7188" w:rsidP="00B312A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145AF">
              <w:rPr>
                <w:b w:val="0"/>
                <w:i/>
                <w:sz w:val="24"/>
                <w:szCs w:val="24"/>
              </w:rPr>
              <w:t xml:space="preserve">Відповідно до відомостей Державного реєстру речових                   прав на нерухоме майно </w:t>
            </w:r>
            <w:r w:rsidR="00004D73" w:rsidRPr="008145AF">
              <w:rPr>
                <w:b w:val="0"/>
                <w:i/>
                <w:sz w:val="24"/>
                <w:szCs w:val="24"/>
              </w:rPr>
              <w:t xml:space="preserve">єдиний майновий комплекс, будівництво критих складів з цехами первинної переробки металопрокату 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у пров. Охотському (уточнена назва – </w:t>
            </w:r>
            <w:r w:rsidR="008145AF">
              <w:rPr>
                <w:b w:val="0"/>
                <w:i/>
                <w:sz w:val="24"/>
                <w:szCs w:val="24"/>
              </w:rPr>
              <w:t xml:space="preserve">                    </w:t>
            </w:r>
            <w:r w:rsidR="008145AF" w:rsidRPr="008145AF">
              <w:rPr>
                <w:b w:val="0"/>
                <w:i/>
                <w:sz w:val="24"/>
                <w:szCs w:val="24"/>
              </w:rPr>
              <w:t>пров. Мисливський</w:t>
            </w:r>
            <w:r w:rsidRPr="008145AF">
              <w:rPr>
                <w:b w:val="0"/>
                <w:i/>
                <w:sz w:val="24"/>
                <w:szCs w:val="24"/>
              </w:rPr>
              <w:t xml:space="preserve">), 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1-б, а саме: </w:t>
            </w:r>
            <w:r w:rsidR="008145AF">
              <w:rPr>
                <w:b w:val="0"/>
                <w:i/>
                <w:sz w:val="24"/>
                <w:szCs w:val="24"/>
              </w:rPr>
              <w:t>с</w:t>
            </w:r>
            <w:r w:rsidR="008145AF" w:rsidRPr="008145AF">
              <w:rPr>
                <w:b w:val="0"/>
                <w:i/>
                <w:sz w:val="24"/>
                <w:szCs w:val="24"/>
              </w:rPr>
              <w:t>клад № 8 (літ. А) загальн</w:t>
            </w:r>
            <w:r w:rsidR="008145AF">
              <w:rPr>
                <w:b w:val="0"/>
                <w:i/>
                <w:sz w:val="24"/>
                <w:szCs w:val="24"/>
              </w:rPr>
              <w:t>ою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площ</w:t>
            </w:r>
            <w:r w:rsidR="008145AF">
              <w:rPr>
                <w:b w:val="0"/>
                <w:i/>
                <w:sz w:val="24"/>
                <w:szCs w:val="24"/>
              </w:rPr>
              <w:t>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8957,3 кв.м</w:t>
            </w:r>
            <w:r w:rsidR="008145AF">
              <w:rPr>
                <w:b w:val="0"/>
                <w:i/>
                <w:sz w:val="24"/>
                <w:szCs w:val="24"/>
              </w:rPr>
              <w:t>;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</w:t>
            </w:r>
            <w:r w:rsidR="008145AF">
              <w:rPr>
                <w:b w:val="0"/>
                <w:i/>
                <w:sz w:val="24"/>
                <w:szCs w:val="24"/>
              </w:rPr>
              <w:t>д</w:t>
            </w:r>
            <w:r w:rsidR="008145AF" w:rsidRPr="008145AF">
              <w:rPr>
                <w:b w:val="0"/>
                <w:i/>
                <w:sz w:val="24"/>
                <w:szCs w:val="24"/>
              </w:rPr>
              <w:t>опоміжні служби (літ. А") загальн</w:t>
            </w:r>
            <w:r w:rsidR="008145AF">
              <w:rPr>
                <w:b w:val="0"/>
                <w:i/>
                <w:sz w:val="24"/>
                <w:szCs w:val="24"/>
              </w:rPr>
              <w:t>ою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площ</w:t>
            </w:r>
            <w:r w:rsidR="008145AF">
              <w:rPr>
                <w:b w:val="0"/>
                <w:i/>
                <w:sz w:val="24"/>
                <w:szCs w:val="24"/>
              </w:rPr>
              <w:t>ею 524,1 кв.м; РУ, інж. корпус (літ. Б) загальною              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918,2 кв.м</w:t>
            </w:r>
            <w:r w:rsidR="008145AF">
              <w:rPr>
                <w:b w:val="0"/>
                <w:i/>
                <w:sz w:val="24"/>
                <w:szCs w:val="24"/>
              </w:rPr>
              <w:t>; адмін. корпус (літ. В)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</w:t>
            </w:r>
            <w:r w:rsidR="008145AF">
              <w:rPr>
                <w:b w:val="0"/>
                <w:i/>
                <w:sz w:val="24"/>
                <w:szCs w:val="24"/>
              </w:rPr>
              <w:t xml:space="preserve">                    </w:t>
            </w:r>
            <w:r w:rsidR="008145AF" w:rsidRPr="008145AF">
              <w:rPr>
                <w:b w:val="0"/>
                <w:i/>
                <w:sz w:val="24"/>
                <w:szCs w:val="24"/>
              </w:rPr>
              <w:t>1119,7 кв.м</w:t>
            </w:r>
            <w:r w:rsidR="008145AF">
              <w:rPr>
                <w:b w:val="0"/>
                <w:i/>
                <w:sz w:val="24"/>
                <w:szCs w:val="24"/>
              </w:rPr>
              <w:t>; с</w:t>
            </w:r>
            <w:r w:rsidR="008145AF" w:rsidRPr="008145AF">
              <w:rPr>
                <w:b w:val="0"/>
                <w:i/>
                <w:sz w:val="24"/>
                <w:szCs w:val="24"/>
              </w:rPr>
              <w:t>клад №</w:t>
            </w:r>
            <w:r w:rsidR="008145AF">
              <w:rPr>
                <w:b w:val="0"/>
                <w:i/>
                <w:sz w:val="24"/>
                <w:szCs w:val="24"/>
              </w:rPr>
              <w:t xml:space="preserve"> </w:t>
            </w:r>
            <w:r w:rsidR="008145AF" w:rsidRPr="008145AF">
              <w:rPr>
                <w:b w:val="0"/>
                <w:i/>
                <w:sz w:val="24"/>
                <w:szCs w:val="24"/>
              </w:rPr>
              <w:t>7 (літ. Г) загальн</w:t>
            </w:r>
            <w:r w:rsidR="008145AF">
              <w:rPr>
                <w:b w:val="0"/>
                <w:i/>
                <w:sz w:val="24"/>
                <w:szCs w:val="24"/>
              </w:rPr>
              <w:t>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1485,1 кв.м</w:t>
            </w:r>
            <w:r w:rsidR="008145AF">
              <w:rPr>
                <w:b w:val="0"/>
                <w:i/>
                <w:sz w:val="24"/>
                <w:szCs w:val="24"/>
              </w:rPr>
              <w:t>; склад № 6 (літ. Д)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3581,5 кв.м</w:t>
            </w:r>
            <w:r w:rsidR="008145AF">
              <w:rPr>
                <w:b w:val="0"/>
                <w:i/>
                <w:sz w:val="24"/>
                <w:szCs w:val="24"/>
              </w:rPr>
              <w:t>; с</w:t>
            </w:r>
            <w:r w:rsidR="008145AF" w:rsidRPr="008145AF">
              <w:rPr>
                <w:b w:val="0"/>
                <w:i/>
                <w:sz w:val="24"/>
                <w:szCs w:val="24"/>
              </w:rPr>
              <w:t>клад № 9 (</w:t>
            </w:r>
            <w:r w:rsidR="008145AF">
              <w:rPr>
                <w:b w:val="0"/>
                <w:i/>
                <w:sz w:val="24"/>
                <w:szCs w:val="24"/>
              </w:rPr>
              <w:t>літ. Е)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2796,1 кв.м</w:t>
            </w:r>
            <w:r w:rsidR="008145AF">
              <w:rPr>
                <w:b w:val="0"/>
                <w:i/>
                <w:sz w:val="24"/>
                <w:szCs w:val="24"/>
              </w:rPr>
              <w:t>; склад № 10 (літ. Ж)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1640,5 кв.м</w:t>
            </w:r>
            <w:r w:rsidR="008145AF">
              <w:rPr>
                <w:b w:val="0"/>
                <w:i/>
                <w:sz w:val="24"/>
                <w:szCs w:val="24"/>
              </w:rPr>
              <w:t>; б</w:t>
            </w:r>
            <w:r w:rsidR="008145AF" w:rsidRPr="008145AF">
              <w:rPr>
                <w:b w:val="0"/>
                <w:i/>
                <w:sz w:val="24"/>
                <w:szCs w:val="24"/>
              </w:rPr>
              <w:t>уді</w:t>
            </w:r>
            <w:r w:rsidR="008145AF">
              <w:rPr>
                <w:b w:val="0"/>
                <w:i/>
                <w:sz w:val="24"/>
                <w:szCs w:val="24"/>
              </w:rPr>
              <w:t>вля прохідної (літ. Ж")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246,6 кв.м</w:t>
            </w:r>
            <w:r w:rsidR="008145AF">
              <w:rPr>
                <w:b w:val="0"/>
                <w:i/>
                <w:sz w:val="24"/>
                <w:szCs w:val="24"/>
              </w:rPr>
              <w:t>; склад цементу (літ. З)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178,8 кв.м</w:t>
            </w:r>
            <w:r w:rsidR="008145AF">
              <w:rPr>
                <w:b w:val="0"/>
                <w:i/>
                <w:sz w:val="24"/>
                <w:szCs w:val="24"/>
              </w:rPr>
              <w:t>; л</w:t>
            </w:r>
            <w:r w:rsidR="0054204F">
              <w:rPr>
                <w:b w:val="0"/>
                <w:i/>
                <w:sz w:val="24"/>
                <w:szCs w:val="24"/>
              </w:rPr>
              <w:t xml:space="preserve">інія ппр (літ. И) загальною площею                  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320,2 кв.м</w:t>
            </w:r>
            <w:r w:rsidR="0054204F">
              <w:rPr>
                <w:b w:val="0"/>
                <w:i/>
                <w:sz w:val="24"/>
                <w:szCs w:val="24"/>
              </w:rPr>
              <w:t>; с</w:t>
            </w:r>
            <w:r w:rsidR="008145AF" w:rsidRPr="008145AF">
              <w:rPr>
                <w:b w:val="0"/>
                <w:i/>
                <w:sz w:val="24"/>
                <w:szCs w:val="24"/>
              </w:rPr>
              <w:t>клад № 4 (літ. К) загальн</w:t>
            </w:r>
            <w:r w:rsidR="0054204F">
              <w:rPr>
                <w:b w:val="0"/>
                <w:i/>
                <w:sz w:val="24"/>
                <w:szCs w:val="24"/>
              </w:rPr>
              <w:t>ою площею 234,0 кв.м; склад метизів (літ. Л)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427,5 кв.м</w:t>
            </w:r>
            <w:r w:rsidR="0054204F">
              <w:rPr>
                <w:b w:val="0"/>
                <w:i/>
                <w:sz w:val="24"/>
                <w:szCs w:val="24"/>
              </w:rPr>
              <w:t>; відділ збуту (літ. М)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145,6 кв.м</w:t>
            </w:r>
            <w:r w:rsidR="0054204F">
              <w:rPr>
                <w:b w:val="0"/>
                <w:i/>
                <w:sz w:val="24"/>
                <w:szCs w:val="24"/>
              </w:rPr>
              <w:t>; в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биральня </w:t>
            </w:r>
            <w:r w:rsidR="0054204F">
              <w:rPr>
                <w:b w:val="0"/>
                <w:i/>
                <w:sz w:val="24"/>
                <w:szCs w:val="24"/>
              </w:rPr>
              <w:t xml:space="preserve">                 (літ. Н)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17,2 кв.м</w:t>
            </w:r>
            <w:r w:rsidR="0054204F">
              <w:rPr>
                <w:b w:val="0"/>
                <w:i/>
                <w:sz w:val="24"/>
                <w:szCs w:val="24"/>
              </w:rPr>
              <w:t>; в</w:t>
            </w:r>
            <w:r w:rsidR="008145AF" w:rsidRPr="008145AF">
              <w:rPr>
                <w:b w:val="0"/>
                <w:i/>
                <w:sz w:val="24"/>
                <w:szCs w:val="24"/>
              </w:rPr>
              <w:t>ідкритий склад №</w:t>
            </w:r>
            <w:r w:rsidR="0054204F">
              <w:rPr>
                <w:b w:val="0"/>
                <w:i/>
                <w:sz w:val="24"/>
                <w:szCs w:val="24"/>
              </w:rPr>
              <w:t xml:space="preserve"> 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2 </w:t>
            </w:r>
            <w:r w:rsidR="0054204F">
              <w:rPr>
                <w:b w:val="0"/>
                <w:i/>
                <w:sz w:val="24"/>
                <w:szCs w:val="24"/>
              </w:rPr>
              <w:t xml:space="preserve">  </w:t>
            </w:r>
            <w:r w:rsidR="008145AF" w:rsidRPr="008145AF">
              <w:rPr>
                <w:b w:val="0"/>
                <w:i/>
                <w:sz w:val="24"/>
                <w:szCs w:val="24"/>
              </w:rPr>
              <w:t>(</w:t>
            </w:r>
            <w:r w:rsidR="0054204F">
              <w:rPr>
                <w:b w:val="0"/>
                <w:i/>
                <w:sz w:val="24"/>
                <w:szCs w:val="24"/>
              </w:rPr>
              <w:t>літ. О)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2450,0 кв.м</w:t>
            </w:r>
            <w:r w:rsidR="0054204F">
              <w:rPr>
                <w:b w:val="0"/>
                <w:i/>
                <w:sz w:val="24"/>
                <w:szCs w:val="24"/>
              </w:rPr>
              <w:t>; в</w:t>
            </w:r>
            <w:r w:rsidR="008145AF" w:rsidRPr="008145AF">
              <w:rPr>
                <w:b w:val="0"/>
                <w:i/>
                <w:sz w:val="24"/>
                <w:szCs w:val="24"/>
              </w:rPr>
              <w:t>ідкритий склад №</w:t>
            </w:r>
            <w:r w:rsidR="0054204F">
              <w:rPr>
                <w:b w:val="0"/>
                <w:i/>
                <w:sz w:val="24"/>
                <w:szCs w:val="24"/>
              </w:rPr>
              <w:t xml:space="preserve"> 1 (літ. П) загальною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пло</w:t>
            </w:r>
            <w:r w:rsidR="0054204F">
              <w:rPr>
                <w:b w:val="0"/>
                <w:i/>
                <w:sz w:val="24"/>
                <w:szCs w:val="24"/>
              </w:rPr>
              <w:t>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6300,0 кв.м</w:t>
            </w:r>
            <w:r w:rsidR="0054204F">
              <w:rPr>
                <w:b w:val="0"/>
                <w:i/>
                <w:sz w:val="24"/>
                <w:szCs w:val="24"/>
              </w:rPr>
              <w:t>; в</w:t>
            </w:r>
            <w:r w:rsidR="008145AF" w:rsidRPr="008145AF">
              <w:rPr>
                <w:b w:val="0"/>
                <w:i/>
                <w:sz w:val="24"/>
                <w:szCs w:val="24"/>
              </w:rPr>
              <w:t>ідкритий склад №</w:t>
            </w:r>
            <w:r w:rsidR="0054204F">
              <w:rPr>
                <w:b w:val="0"/>
                <w:i/>
                <w:sz w:val="24"/>
                <w:szCs w:val="24"/>
              </w:rPr>
              <w:t xml:space="preserve"> 3 (літ. Р) загальною площею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 4900,0 кв.м</w:t>
            </w:r>
            <w:r w:rsidR="0054204F">
              <w:rPr>
                <w:b w:val="0"/>
                <w:i/>
                <w:sz w:val="24"/>
                <w:szCs w:val="24"/>
              </w:rPr>
              <w:t xml:space="preserve">, </w:t>
            </w:r>
            <w:r w:rsidRPr="008145AF">
              <w:rPr>
                <w:b w:val="0"/>
                <w:i/>
                <w:sz w:val="24"/>
                <w:szCs w:val="24"/>
              </w:rPr>
              <w:t xml:space="preserve">є власністю </w:t>
            </w:r>
            <w:r w:rsidR="008145AF" w:rsidRPr="008145AF">
              <w:rPr>
                <w:b w:val="0"/>
                <w:i/>
                <w:sz w:val="24"/>
                <w:szCs w:val="24"/>
              </w:rPr>
              <w:t xml:space="preserve">товариства з обмеженою відповідальністю «САВВАТС» </w:t>
            </w:r>
            <w:r w:rsidR="0054204F">
              <w:rPr>
                <w:b w:val="0"/>
                <w:i/>
                <w:sz w:val="24"/>
                <w:szCs w:val="24"/>
              </w:rPr>
              <w:t xml:space="preserve">                   </w:t>
            </w:r>
            <w:r w:rsidRPr="008145AF">
              <w:rPr>
                <w:b w:val="0"/>
                <w:i/>
                <w:sz w:val="24"/>
                <w:szCs w:val="24"/>
              </w:rPr>
              <w:t xml:space="preserve">(далі – </w:t>
            </w:r>
            <w:r w:rsidR="008145AF" w:rsidRPr="008145AF">
              <w:rPr>
                <w:b w:val="0"/>
                <w:i/>
                <w:sz w:val="24"/>
                <w:szCs w:val="24"/>
              </w:rPr>
              <w:t>Товариство</w:t>
            </w:r>
            <w:r w:rsidRPr="008145AF">
              <w:rPr>
                <w:b w:val="0"/>
                <w:i/>
                <w:sz w:val="24"/>
                <w:szCs w:val="24"/>
              </w:rPr>
              <w:t xml:space="preserve">)  (реєстраційний номер об’єкта нерухомого майна </w:t>
            </w:r>
            <w:r w:rsidR="00004D73" w:rsidRPr="008145AF">
              <w:rPr>
                <w:b w:val="0"/>
                <w:i/>
                <w:sz w:val="24"/>
                <w:szCs w:val="24"/>
              </w:rPr>
              <w:t>13523980000</w:t>
            </w:r>
            <w:r w:rsidRPr="008145AF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004D73" w:rsidRPr="008145AF">
              <w:rPr>
                <w:b w:val="0"/>
                <w:i/>
                <w:sz w:val="24"/>
                <w:szCs w:val="24"/>
              </w:rPr>
              <w:t>30.01.2013</w:t>
            </w:r>
            <w:r w:rsidRPr="008145AF">
              <w:rPr>
                <w:b w:val="0"/>
                <w:i/>
                <w:sz w:val="24"/>
                <w:szCs w:val="24"/>
              </w:rPr>
              <w:t xml:space="preserve"> № </w:t>
            </w:r>
            <w:r w:rsidR="00004D73" w:rsidRPr="008145AF">
              <w:rPr>
                <w:b w:val="0"/>
                <w:i/>
                <w:sz w:val="24"/>
                <w:szCs w:val="24"/>
              </w:rPr>
              <w:t>214795</w:t>
            </w:r>
            <w:r w:rsidRPr="008145AF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F96F6C">
        <w:trPr>
          <w:cantSplit/>
          <w:trHeight w:val="321"/>
        </w:trPr>
        <w:tc>
          <w:tcPr>
            <w:tcW w:w="2972" w:type="dxa"/>
          </w:tcPr>
          <w:p w14:paraId="2C032EFE" w14:textId="4705779A" w:rsidR="00823CCF" w:rsidRPr="00BF7188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5ACEF7D" w14:textId="77777777" w:rsidR="00823CCF" w:rsidRPr="00BF7188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F7188">
              <w:rPr>
                <w:b w:val="0"/>
                <w:i/>
                <w:sz w:val="24"/>
                <w:szCs w:val="24"/>
              </w:rPr>
              <w:t xml:space="preserve">Детальний план </w:t>
            </w:r>
            <w:r w:rsidR="00917D58" w:rsidRPr="00BF7188">
              <w:rPr>
                <w:b w:val="0"/>
                <w:i/>
                <w:sz w:val="24"/>
                <w:szCs w:val="24"/>
              </w:rPr>
              <w:t>території не затверджено</w:t>
            </w:r>
            <w:r w:rsidRPr="00BF7188">
              <w:rPr>
                <w:b w:val="0"/>
                <w:i/>
                <w:sz w:val="24"/>
                <w:szCs w:val="24"/>
              </w:rPr>
              <w:t>.</w:t>
            </w:r>
          </w:p>
          <w:p w14:paraId="112E87C4" w14:textId="3A3B72B9" w:rsidR="00917D58" w:rsidRPr="00907FF6" w:rsidRDefault="00917D58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BF7188" w:rsidRDefault="00776E89" w:rsidP="00430CA4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BF7188">
              <w:rPr>
                <w:i/>
                <w:sz w:val="24"/>
                <w:szCs w:val="24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>Функціональне</w:t>
            </w:r>
            <w:r w:rsidR="00037B84" w:rsidRPr="00BF7188">
              <w:rPr>
                <w:i/>
                <w:sz w:val="24"/>
                <w:szCs w:val="24"/>
              </w:rPr>
              <w:t xml:space="preserve"> </w:t>
            </w:r>
            <w:r w:rsidRPr="00BF7188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BF7188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BF7188">
              <w:rPr>
                <w:i/>
                <w:sz w:val="24"/>
                <w:szCs w:val="24"/>
                <w:lang w:val="ru-RU"/>
              </w:rPr>
              <w:t xml:space="preserve"> </w:t>
            </w:r>
            <w:r w:rsidR="00037B84" w:rsidRPr="00BF7188">
              <w:rPr>
                <w:i/>
                <w:sz w:val="24"/>
                <w:szCs w:val="24"/>
              </w:rPr>
              <w:t>п</w:t>
            </w:r>
            <w:r w:rsidR="00823CCF" w:rsidRPr="00BF7188">
              <w:rPr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BF7188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 xml:space="preserve">згідно </w:t>
            </w:r>
            <w:r w:rsidR="004D4B3C" w:rsidRPr="00BF7188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662" w:type="dxa"/>
          </w:tcPr>
          <w:p w14:paraId="49BF4673" w14:textId="5C752B49" w:rsidR="00823CCF" w:rsidRPr="00BF7188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F7188">
              <w:rPr>
                <w:b w:val="0"/>
                <w:i/>
                <w:color w:val="auto"/>
                <w:sz w:val="24"/>
                <w:szCs w:val="24"/>
              </w:rPr>
              <w:t>Т</w:t>
            </w:r>
            <w:r w:rsidR="0018193A" w:rsidRPr="00BF7188">
              <w:rPr>
                <w:b w:val="0"/>
                <w:i/>
                <w:color w:val="auto"/>
                <w:sz w:val="24"/>
                <w:szCs w:val="24"/>
              </w:rPr>
              <w:t>ериторі</w:t>
            </w:r>
            <w:r w:rsidR="00BF7188" w:rsidRPr="00BF7188">
              <w:rPr>
                <w:b w:val="0"/>
                <w:i/>
                <w:color w:val="auto"/>
                <w:sz w:val="24"/>
                <w:szCs w:val="24"/>
              </w:rPr>
              <w:t xml:space="preserve">ї </w:t>
            </w:r>
            <w:r w:rsidR="00BF7188" w:rsidRPr="00BF7188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лісів та лісопарків</w:t>
            </w:r>
            <w:r w:rsidR="008A1F96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BF7188" w:rsidRDefault="00776E89" w:rsidP="003F4C80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8A1F96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0911D75F" w:rsidR="006A19DF" w:rsidRPr="00BF7188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F7188">
              <w:rPr>
                <w:b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5A5AF47C" w14:textId="77777777" w:rsidR="00823CCF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F7188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BF7188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BF7188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="00BF7188" w:rsidRPr="00BF7188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не визначена</w:t>
            </w:r>
            <w:r w:rsidRPr="00BF7188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BF7188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BF7188">
              <w:rPr>
                <w:b w:val="0"/>
                <w:i/>
                <w:sz w:val="24"/>
                <w:szCs w:val="24"/>
              </w:rPr>
              <w:t>-</w:t>
            </w:r>
            <w:r w:rsidRPr="00BF7188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BF7188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11.02</w:t>
            </w:r>
            <w:r w:rsidRPr="00BF7188">
              <w:rPr>
                <w:b w:val="0"/>
                <w:i/>
                <w:sz w:val="24"/>
                <w:szCs w:val="24"/>
              </w:rPr>
              <w:t>.</w:t>
            </w:r>
          </w:p>
          <w:p w14:paraId="0EC5BAC8" w14:textId="6B529640" w:rsidR="00211D18" w:rsidRPr="00907FF6" w:rsidRDefault="00211D18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BF7188" w:rsidRDefault="00776E89" w:rsidP="003F4C80">
            <w:pPr>
              <w:pStyle w:val="a7"/>
              <w:ind w:left="-120"/>
              <w:rPr>
                <w:i/>
                <w:sz w:val="24"/>
                <w:szCs w:val="24"/>
                <w:lang w:val="en-US"/>
              </w:rPr>
            </w:pPr>
            <w:r w:rsidRPr="00BF7188">
              <w:rPr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>Розташування</w:t>
            </w:r>
            <w:r w:rsidR="00037B84" w:rsidRPr="00BF7188">
              <w:rPr>
                <w:i/>
                <w:sz w:val="24"/>
                <w:szCs w:val="24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 xml:space="preserve">в зеленій </w:t>
            </w:r>
            <w:r w:rsidRPr="00BF7188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BF7188">
              <w:rPr>
                <w:i/>
                <w:sz w:val="24"/>
                <w:szCs w:val="24"/>
                <w:lang w:val="en-US"/>
              </w:rPr>
              <w:t xml:space="preserve"> </w:t>
            </w:r>
            <w:r w:rsidR="00823CCF" w:rsidRPr="00BF7188">
              <w:rPr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65DB3D3" w14:textId="77777777" w:rsidR="00823CCF" w:rsidRDefault="00C92687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Частково</w:t>
            </w: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 потрапляє до зеленої зони, визначеної рішенням Київської міської ради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  <w:p w14:paraId="32C67EBC" w14:textId="2899FBCD" w:rsidR="00C00AF4" w:rsidRPr="00BF7188" w:rsidRDefault="00C00AF4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BF7188" w:rsidRDefault="00776E89" w:rsidP="003F4C80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BF7188">
              <w:rPr>
                <w:i/>
                <w:sz w:val="24"/>
                <w:szCs w:val="24"/>
              </w:rPr>
              <w:t>Інші особливості</w:t>
            </w:r>
            <w:r w:rsidR="00765401" w:rsidRPr="00BF7188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5AEB413" w14:textId="4DBC2496" w:rsidR="00907FF6" w:rsidRPr="00BF7188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відповідно д</w:t>
            </w:r>
            <w:r w:rsidR="008A1F9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 розпорядження Київської міської державної адміністрації</w:t>
            </w:r>
            <w:r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від </w:t>
            </w:r>
            <w:r w:rsidR="008A1F9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16.02.1998 № 297 надана в тимчасове користування на умовах оренди на 25 років </w:t>
            </w:r>
            <w:r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8A1F96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Товариству</w:t>
            </w:r>
            <w:r w:rsidR="008A1F96" w:rsidRPr="00BF718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</w:t>
            </w:r>
            <w:r w:rsidR="00FF0A55"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будівництва та експлуатації критих складів з цехами первинної переробки металопрокату </w:t>
            </w:r>
            <w:r w:rsidR="008A1F9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(договір</w:t>
            </w:r>
            <w:r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8A1F9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</w:t>
            </w:r>
            <w:r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24.03.1998 № 90-5-00036)</w:t>
            </w:r>
            <w:r w:rsidR="00FF0A55"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6F39B81" w14:textId="18088705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BF71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24.03.202</w:t>
            </w:r>
            <w:r w:rsidR="008A1F9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3</w:t>
            </w:r>
            <w:r w:rsidR="00C91423" w:rsidRPr="00BF7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1A307767" w14:textId="5E61A0D9" w:rsidR="00090FAD" w:rsidRDefault="000516D9" w:rsidP="00B455F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13" w:tgtFrame="_blank" w:history="1">
              <w:r w:rsidR="00090FAD" w:rsidRPr="004610A0">
                <w:rPr>
                  <w:rStyle w:val="af3"/>
                  <w:rFonts w:ascii="Times New Roman" w:hAnsi="Times New Roman" w:cs="Times New Roman"/>
                  <w:i/>
                  <w:color w:val="auto"/>
                  <w:u w:val="none"/>
                  <w:shd w:val="clear" w:color="auto" w:fill="FFFFFF"/>
                </w:rPr>
                <w:t>Рішенням Київської міської ради від 26.02.2010 № 30/3468</w:t>
              </w:r>
            </w:hyperlink>
            <w:r w:rsidR="00090FAD" w:rsidRPr="004610A0">
              <w:rPr>
                <w:rFonts w:ascii="Times New Roman" w:hAnsi="Times New Roman" w:cs="Times New Roman"/>
                <w:i/>
                <w:color w:val="auto"/>
              </w:rPr>
              <w:t xml:space="preserve"> (у редакції рішення від </w:t>
            </w:r>
            <w:r w:rsidR="00090FAD" w:rsidRPr="004610A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14.07.2011 № 787/6174</w:t>
            </w:r>
            <w:r w:rsidR="004610A0" w:rsidRPr="004610A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)</w:t>
            </w:r>
            <w:r w:rsidR="00090FAD" w:rsidRPr="004610A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</w:t>
            </w:r>
            <w:r w:rsidR="00090FAD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>відповідно до Податкового кодексу України та враховуючи листи-звернення орендарів,</w:t>
            </w:r>
            <w:r w:rsidR="008B70BF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090FAD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>передбачено внести зміни</w:t>
            </w:r>
            <w:r w:rsidR="004610A0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>, у тому числі</w:t>
            </w:r>
            <w:r w:rsidR="00090FAD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8B70BF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і </w:t>
            </w:r>
            <w:r w:rsidR="00090FAD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>до дого</w:t>
            </w:r>
            <w:r w:rsidR="008B70BF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>вору</w:t>
            </w:r>
            <w:r w:rsidR="004610A0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>, встановивши річну орендну плату у трикратному розмірі земельного податку, встановленого Податковим кодексом України.</w:t>
            </w:r>
            <w:r w:rsidR="008B70BF" w:rsidRPr="004610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4610A0">
              <w:rPr>
                <w:rFonts w:ascii="Times New Roman" w:hAnsi="Times New Roman" w:cs="Times New Roman"/>
                <w:i/>
                <w:shd w:val="clear" w:color="auto" w:fill="FFFFFF"/>
              </w:rPr>
              <w:t>Укладення відповідного договору Товариством не забезпечено.</w:t>
            </w:r>
          </w:p>
          <w:p w14:paraId="62649D77" w14:textId="77777777" w:rsidR="00C00AF4" w:rsidRDefault="00C00AF4" w:rsidP="00B455F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14:paraId="67515107" w14:textId="68C232D6" w:rsidR="00512A8A" w:rsidRDefault="00512A8A" w:rsidP="00512A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листом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13.01.2023                                   № 3489/6/26-15-13-01-08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 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Товариством</w:t>
            </w:r>
            <w:r w:rsidRPr="00E31B27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податковий борг </w:t>
            </w:r>
            <w:r w:rsidR="00BB555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не обліковується.</w:t>
            </w:r>
          </w:p>
          <w:p w14:paraId="189B174E" w14:textId="77777777" w:rsidR="00C00AF4" w:rsidRPr="00E31B27" w:rsidRDefault="00C00AF4" w:rsidP="00512A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4FF11C70" w14:textId="38879643" w:rsidR="00512A8A" w:rsidRPr="00512A8A" w:rsidRDefault="00512A8A" w:rsidP="00512A8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12A8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листа ГУ ДПС у м. Києві від </w:t>
            </w:r>
            <w:r w:rsidR="00C00AF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</w:t>
            </w:r>
            <w:r w:rsidR="00D537B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6</w:t>
            </w:r>
            <w:r w:rsidR="00C00AF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</w:t>
            </w:r>
            <w:r w:rsidR="00D537B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5</w:t>
            </w:r>
            <w:r w:rsidR="00C00AF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.2023</w:t>
            </w:r>
            <w:r w:rsidRPr="00512A8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 </w:t>
            </w:r>
            <w:r w:rsidR="00D537B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</w:t>
            </w:r>
            <w:r w:rsidR="00C00AF4" w:rsidRPr="00C00AF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</w:t>
            </w:r>
            <w:r w:rsidR="00D537B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806</w:t>
            </w:r>
            <w:r w:rsidR="00C00AF4" w:rsidRPr="00C00AF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/5/26-15-13-01-05</w:t>
            </w:r>
            <w:r w:rsidR="00C00AF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станом на 01.0</w:t>
            </w:r>
            <w:r w:rsidR="00D537B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.2023</w:t>
            </w:r>
            <w:r w:rsidRPr="00512A8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Товариство</w:t>
            </w:r>
            <w:r w:rsidRPr="00512A8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</w:t>
            </w:r>
            <w:r w:rsidR="00C00AF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</w:t>
            </w:r>
            <w:r w:rsidRPr="00512A8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включено до переліку підприємств-боржників зі сплати земельного податку та орендної плати за землю.</w:t>
            </w:r>
          </w:p>
          <w:p w14:paraId="4C203E53" w14:textId="77777777" w:rsidR="00512A8A" w:rsidRPr="004610A0" w:rsidRDefault="00512A8A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1CC69628" w14:textId="0A8CBD75" w:rsidR="00C00AF4" w:rsidRDefault="007D5762" w:rsidP="00C00A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D576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544CFA69" w14:textId="77777777" w:rsidR="007D5762" w:rsidRPr="00C00AF4" w:rsidRDefault="007D5762" w:rsidP="00C00A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7F30AF09" w14:textId="77777777" w:rsidR="007D5762" w:rsidRPr="00BD0072" w:rsidRDefault="007D5762" w:rsidP="007D576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D0072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C52C7A6" w14:textId="77777777" w:rsidR="007D5762" w:rsidRPr="00C00AF4" w:rsidRDefault="007D5762" w:rsidP="00C00A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81CEF3E" w14:textId="4F3B3EF6" w:rsidR="00DE0E7B" w:rsidRPr="002D6E0D" w:rsidRDefault="007D5762" w:rsidP="002D6E0D">
            <w:pPr>
              <w:jc w:val="both"/>
            </w:pPr>
            <w:r w:rsidRPr="00BD0072">
              <w:rPr>
                <w:rFonts w:ascii="Times New Roman" w:hAnsi="Times New Roman" w:cs="Times New Roman"/>
                <w:i/>
                <w:color w:val="auto"/>
              </w:rPr>
              <w:t>Зважаючи на вказане Департаментом земельних ресурсів направляється до Київської міської ради цей проєкт рішення для подальшого розгляду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17D51F37" w14:textId="6DB93504" w:rsidR="00C00AF4" w:rsidRDefault="00C00AF4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7533C094" w14:textId="4E8FD402" w:rsidR="007D5762" w:rsidRDefault="007D5762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7EC5282A" w14:textId="1E5B4812" w:rsidR="007D5762" w:rsidRDefault="007D5762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2EE8A41F" w14:textId="59FB0F2B" w:rsidR="007D5762" w:rsidRDefault="007D5762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0F81D8D7" w14:textId="65C4FA77" w:rsidR="007D5762" w:rsidRDefault="007D5762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50C9851D" w14:textId="77777777" w:rsidR="007D5762" w:rsidRDefault="007D5762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1D5D1AAD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08D9924C" w14:textId="775737BE" w:rsidR="007D5762" w:rsidRPr="00BD0072" w:rsidRDefault="000516D9" w:rsidP="007D576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</w:t>
      </w:r>
      <w:bookmarkStart w:id="0" w:name="_GoBack"/>
      <w:bookmarkEnd w:id="0"/>
      <w:r w:rsidR="007D5762" w:rsidRPr="00BD0072"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DCE2E80" w14:textId="77777777" w:rsidR="007D5762" w:rsidRPr="00BD0072" w:rsidRDefault="007D5762" w:rsidP="007D5762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BD0072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36DC1B1" w:rsidR="006A19DF" w:rsidRPr="0064453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C00AF4">
        <w:rPr>
          <w:i w:val="0"/>
          <w:sz w:val="24"/>
          <w:szCs w:val="24"/>
        </w:rPr>
        <w:t>від 08.12.2022</w:t>
      </w:r>
      <w:r w:rsidR="00C00AF4" w:rsidRPr="002F2D3F">
        <w:rPr>
          <w:i w:val="0"/>
          <w:sz w:val="24"/>
          <w:szCs w:val="24"/>
        </w:rPr>
        <w:t xml:space="preserve"> № </w:t>
      </w:r>
      <w:r w:rsidR="00C00AF4" w:rsidRPr="00906350">
        <w:rPr>
          <w:bCs/>
          <w:i w:val="0"/>
          <w:sz w:val="24"/>
          <w:szCs w:val="24"/>
          <w:shd w:val="clear" w:color="auto" w:fill="FFFFFF"/>
        </w:rPr>
        <w:t>5828/5869</w:t>
      </w:r>
      <w:r w:rsidR="00C00AF4">
        <w:rPr>
          <w:i w:val="0"/>
          <w:sz w:val="24"/>
          <w:szCs w:val="24"/>
        </w:rPr>
        <w:t xml:space="preserve"> «Про бюджет міста Києва на 2023</w:t>
      </w:r>
      <w:r w:rsidR="00C00AF4" w:rsidRPr="002F2D3F">
        <w:rPr>
          <w:i w:val="0"/>
          <w:sz w:val="24"/>
          <w:szCs w:val="24"/>
        </w:rPr>
        <w:t xml:space="preserve"> рік» </w:t>
      </w:r>
      <w:r w:rsidR="002F2D3F" w:rsidRPr="002F2D3F">
        <w:rPr>
          <w:i w:val="0"/>
          <w:sz w:val="24"/>
          <w:szCs w:val="24"/>
        </w:rPr>
        <w:t xml:space="preserve">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 w:rsidRPr="0064453F">
        <w:rPr>
          <w:i w:val="0"/>
          <w:color w:val="auto"/>
          <w:sz w:val="24"/>
          <w:szCs w:val="24"/>
        </w:rPr>
        <w:t xml:space="preserve">: </w:t>
      </w:r>
      <w:r w:rsidRPr="0064453F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="00015043" w:rsidRPr="0064453F">
        <w:rPr>
          <w:b/>
          <w:color w:val="auto"/>
          <w:sz w:val="24"/>
          <w:szCs w:val="24"/>
          <w:shd w:val="clear" w:color="auto" w:fill="FFFFFF"/>
        </w:rPr>
        <w:t>545 759,22</w:t>
      </w:r>
      <w:r w:rsidR="008B0858" w:rsidRPr="0064453F">
        <w:rPr>
          <w:b/>
          <w:color w:val="auto"/>
          <w:sz w:val="24"/>
          <w:szCs w:val="24"/>
          <w:shd w:val="clear" w:color="auto" w:fill="FFFFFF"/>
        </w:rPr>
        <w:t xml:space="preserve"> грн в рік (3%)</w:t>
      </w:r>
      <w:r w:rsidRPr="0064453F">
        <w:rPr>
          <w:b/>
          <w:color w:val="auto"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307B5B93" w:rsidR="006A19DF" w:rsidRPr="00037B84" w:rsidRDefault="006A19DF" w:rsidP="00211D1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</w:t>
      </w:r>
      <w:r w:rsidRPr="00BB5550">
        <w:rPr>
          <w:i w:val="0"/>
          <w:sz w:val="24"/>
          <w:szCs w:val="24"/>
        </w:rPr>
        <w:t>ю.</w:t>
      </w:r>
    </w:p>
    <w:p w14:paraId="7839A62F" w14:textId="77777777" w:rsidR="00C00AF4" w:rsidRDefault="00C00AF4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69B5A2F6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AF63C9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C92687">
      <w:headerReference w:type="default" r:id="rId14"/>
      <w:footerReference w:type="default" r:id="rId15"/>
      <w:pgSz w:w="11907" w:h="16839" w:code="9"/>
      <w:pgMar w:top="567" w:right="567" w:bottom="567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1141" w14:textId="77777777" w:rsidR="00F617F5" w:rsidRDefault="00F617F5">
      <w:r>
        <w:separator/>
      </w:r>
    </w:p>
  </w:endnote>
  <w:endnote w:type="continuationSeparator" w:id="0">
    <w:p w14:paraId="2CB9C1E2" w14:textId="77777777" w:rsidR="00F617F5" w:rsidRDefault="00F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7550" w14:textId="77777777" w:rsidR="00F617F5" w:rsidRDefault="00F617F5"/>
  </w:footnote>
  <w:footnote w:type="continuationSeparator" w:id="0">
    <w:p w14:paraId="4DFD880F" w14:textId="77777777" w:rsidR="00F617F5" w:rsidRDefault="00F617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2EA17BF4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AF63C9">
          <w:rPr>
            <w:i w:val="0"/>
            <w:sz w:val="12"/>
            <w:szCs w:val="12"/>
            <w:lang w:val="ru-RU"/>
          </w:rPr>
          <w:t>-52005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7D5762">
          <w:rPr>
            <w:i w:val="0"/>
            <w:sz w:val="12"/>
            <w:szCs w:val="12"/>
          </w:rPr>
          <w:t>19</w:t>
        </w:r>
        <w:r w:rsidR="009674CE" w:rsidRPr="00AF63C9">
          <w:rPr>
            <w:i w:val="0"/>
            <w:sz w:val="12"/>
            <w:szCs w:val="12"/>
            <w:lang w:val="ru-RU"/>
          </w:rPr>
          <w:t>.0</w:t>
        </w:r>
        <w:r w:rsidR="007D5762">
          <w:rPr>
            <w:i w:val="0"/>
            <w:sz w:val="12"/>
            <w:szCs w:val="12"/>
            <w:lang w:val="ru-RU"/>
          </w:rPr>
          <w:t>6</w:t>
        </w:r>
        <w:r w:rsidR="009674CE" w:rsidRPr="00AF63C9">
          <w:rPr>
            <w:i w:val="0"/>
            <w:sz w:val="12"/>
            <w:szCs w:val="12"/>
            <w:lang w:val="ru-RU"/>
          </w:rPr>
          <w:t>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AF63C9">
          <w:rPr>
            <w:i w:val="0"/>
            <w:sz w:val="12"/>
            <w:szCs w:val="12"/>
            <w:lang w:val="ru-RU"/>
          </w:rPr>
          <w:t>681050511</w:t>
        </w:r>
      </w:p>
      <w:p w14:paraId="0BF67CBB" w14:textId="10318DF9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516D9" w:rsidRPr="000516D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4D73"/>
    <w:rsid w:val="00005A7B"/>
    <w:rsid w:val="00015043"/>
    <w:rsid w:val="00034D1E"/>
    <w:rsid w:val="00037B84"/>
    <w:rsid w:val="00045F3B"/>
    <w:rsid w:val="00047DE7"/>
    <w:rsid w:val="000502C7"/>
    <w:rsid w:val="000516D9"/>
    <w:rsid w:val="00056A2A"/>
    <w:rsid w:val="0007432D"/>
    <w:rsid w:val="00082FF3"/>
    <w:rsid w:val="00090FAD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1D18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610A0"/>
    <w:rsid w:val="0049406D"/>
    <w:rsid w:val="00495DE6"/>
    <w:rsid w:val="004A4541"/>
    <w:rsid w:val="004B05D1"/>
    <w:rsid w:val="004C4F16"/>
    <w:rsid w:val="004D4B3C"/>
    <w:rsid w:val="004D51B7"/>
    <w:rsid w:val="00501B43"/>
    <w:rsid w:val="00512A8A"/>
    <w:rsid w:val="00512B86"/>
    <w:rsid w:val="005156AF"/>
    <w:rsid w:val="00531BB2"/>
    <w:rsid w:val="00532056"/>
    <w:rsid w:val="00533D8E"/>
    <w:rsid w:val="00540515"/>
    <w:rsid w:val="0054204F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4453F"/>
    <w:rsid w:val="006638C7"/>
    <w:rsid w:val="00664BE9"/>
    <w:rsid w:val="00664F25"/>
    <w:rsid w:val="006764C8"/>
    <w:rsid w:val="00692A94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7D0526"/>
    <w:rsid w:val="007D5762"/>
    <w:rsid w:val="00800A09"/>
    <w:rsid w:val="008014F8"/>
    <w:rsid w:val="008145AF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1F96"/>
    <w:rsid w:val="008A2C8C"/>
    <w:rsid w:val="008A338E"/>
    <w:rsid w:val="008B0858"/>
    <w:rsid w:val="008B338E"/>
    <w:rsid w:val="008B70BF"/>
    <w:rsid w:val="008E59A5"/>
    <w:rsid w:val="008F0B34"/>
    <w:rsid w:val="00905988"/>
    <w:rsid w:val="00907FF6"/>
    <w:rsid w:val="0091277B"/>
    <w:rsid w:val="009131FA"/>
    <w:rsid w:val="00917D58"/>
    <w:rsid w:val="009331A5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AF63C9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B5550"/>
    <w:rsid w:val="00BF1120"/>
    <w:rsid w:val="00BF7188"/>
    <w:rsid w:val="00C00AF4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2687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537BC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85426"/>
    <w:rsid w:val="00F923B4"/>
    <w:rsid w:val="00F96F6C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semiHidden/>
    <w:unhideWhenUsed/>
    <w:rsid w:val="00AF63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AF63C9"/>
  </w:style>
  <w:style w:type="character" w:styleId="af3">
    <w:name w:val="Hyperlink"/>
    <w:basedOn w:val="a0"/>
    <w:uiPriority w:val="99"/>
    <w:semiHidden/>
    <w:unhideWhenUsed/>
    <w:rsid w:val="00AF63C9"/>
    <w:rPr>
      <w:color w:val="0000FF"/>
      <w:u w:val="single"/>
    </w:rPr>
  </w:style>
  <w:style w:type="character" w:customStyle="1" w:styleId="text-grey">
    <w:name w:val="text-grey"/>
    <w:basedOn w:val="a0"/>
    <w:rsid w:val="00AF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39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203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hyperlink" Target="https://kmr.ligazakon.net/document/mr100159$2010_02_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86DA-A5E2-46D4-90C8-9058693D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9016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Романенко Ганна Василівна</cp:lastModifiedBy>
  <cp:revision>2</cp:revision>
  <cp:lastPrinted>2023-06-19T11:36:00Z</cp:lastPrinted>
  <dcterms:created xsi:type="dcterms:W3CDTF">2023-06-27T07:36:00Z</dcterms:created>
  <dcterms:modified xsi:type="dcterms:W3CDTF">2023-06-27T07:36:00Z</dcterms:modified>
</cp:coreProperties>
</file>