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5DF6A263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679980174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5DF6A263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679980174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071A18FC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F83AE9">
        <w:rPr>
          <w:b/>
          <w:bCs/>
          <w:sz w:val="24"/>
          <w:szCs w:val="24"/>
        </w:rPr>
        <w:t>ПЗН-71196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F83AE9">
        <w:rPr>
          <w:b/>
          <w:bCs/>
          <w:sz w:val="24"/>
          <w:szCs w:val="24"/>
        </w:rPr>
        <w:t>17.09.2024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proofErr w:type="spellStart"/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</w:t>
      </w:r>
      <w:proofErr w:type="spellEnd"/>
      <w:r w:rsidRPr="003774B2">
        <w:rPr>
          <w:sz w:val="24"/>
          <w:szCs w:val="24"/>
        </w:rPr>
        <w:t xml:space="preserve">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3D808EFA" w14:textId="49AB59CD" w:rsidR="00E17376" w:rsidRDefault="00443C47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b/>
          <w:i/>
          <w:iCs/>
          <w:sz w:val="24"/>
          <w:szCs w:val="24"/>
        </w:rPr>
      </w:pPr>
      <w:r w:rsidRPr="00443C47">
        <w:rPr>
          <w:b/>
          <w:i/>
          <w:iCs/>
          <w:sz w:val="24"/>
          <w:szCs w:val="24"/>
        </w:rPr>
        <w:t xml:space="preserve">Про надання громадянину </w:t>
      </w:r>
      <w:proofErr w:type="spellStart"/>
      <w:r w:rsidRPr="00443C47">
        <w:rPr>
          <w:b/>
          <w:i/>
          <w:iCs/>
          <w:sz w:val="24"/>
          <w:szCs w:val="24"/>
        </w:rPr>
        <w:t>Діордічуку</w:t>
      </w:r>
      <w:proofErr w:type="spellEnd"/>
      <w:r w:rsidRPr="00443C47">
        <w:rPr>
          <w:b/>
          <w:i/>
          <w:iCs/>
          <w:sz w:val="24"/>
          <w:szCs w:val="24"/>
        </w:rPr>
        <w:t xml:space="preserve"> Ігорю Геннадійовичу дозволу на розроблення </w:t>
      </w:r>
      <w:proofErr w:type="spellStart"/>
      <w:r w:rsidRPr="00443C47">
        <w:rPr>
          <w:b/>
          <w:i/>
          <w:iCs/>
          <w:sz w:val="24"/>
          <w:szCs w:val="24"/>
        </w:rPr>
        <w:t>проєкту</w:t>
      </w:r>
      <w:proofErr w:type="spellEnd"/>
      <w:r w:rsidRPr="00443C47">
        <w:rPr>
          <w:b/>
          <w:i/>
          <w:iCs/>
          <w:sz w:val="24"/>
          <w:szCs w:val="24"/>
        </w:rPr>
        <w:t xml:space="preserve"> землеустрою щодо відведення земельної ділянки у власність  для будівництва і обслуговування житлового будинку, господарських будівель і споруд (присадибна ділянка) на вул. Фруктовій, 4  у Подільському районі міста Києва</w:t>
      </w:r>
    </w:p>
    <w:p w14:paraId="4DA0D9F9" w14:textId="77777777" w:rsidR="00443C47" w:rsidRPr="003774B2" w:rsidRDefault="00443C47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Діордічук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Ігор</w:t>
            </w:r>
            <w:proofErr w:type="spellEnd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 xml:space="preserve"> </w:t>
            </w:r>
            <w:proofErr w:type="spellStart"/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Геннадійович</w:t>
            </w:r>
            <w:proofErr w:type="spellEnd"/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02.09.2024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679980174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6536B4F4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F83AE9">
        <w:rPr>
          <w:sz w:val="24"/>
          <w:szCs w:val="24"/>
        </w:rPr>
        <w:t>обліковий код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85:241:0166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Подільський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вул. Фруктова, 4 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1DEE5D00" w:rsidR="008A63AB" w:rsidRPr="008A63AB" w:rsidRDefault="009B6FA8" w:rsidP="00F83AE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F83AE9">
              <w:rPr>
                <w:i/>
                <w:sz w:val="24"/>
                <w:szCs w:val="24"/>
              </w:rPr>
              <w:t>Орієнтовна п</w:t>
            </w:r>
            <w:r w:rsidR="008A63AB" w:rsidRPr="008A63AB">
              <w:rPr>
                <w:i/>
                <w:sz w:val="24"/>
                <w:szCs w:val="24"/>
              </w:rPr>
              <w:t>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0,09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397DF036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C863CE" w:rsidRPr="00C863CE">
              <w:rPr>
                <w:b w:val="0"/>
                <w:i/>
                <w:sz w:val="24"/>
                <w:szCs w:val="24"/>
              </w:rPr>
              <w:t>Заявлене цільове  призначення</w:t>
            </w:r>
            <w:r w:rsidR="008A63AB" w:rsidRPr="008A63AB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14:paraId="2C5EF59F" w14:textId="38E7FD0C" w:rsidR="00F66E0E" w:rsidRPr="009446B9" w:rsidRDefault="00443C47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443C47">
              <w:rPr>
                <w:rFonts w:ascii="Times New Roman" w:hAnsi="Times New Roman" w:cs="Times New Roman"/>
                <w:bCs/>
                <w:i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3732A8">
        <w:rPr>
          <w:sz w:val="24"/>
          <w:szCs w:val="24"/>
        </w:rPr>
        <w:t>проєкт</w:t>
      </w:r>
      <w:proofErr w:type="spellEnd"/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54FFB079" w14:textId="354AAAD2" w:rsidR="00443C47" w:rsidRDefault="00443C47" w:rsidP="00443C47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5E212D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власності на землю.</w:t>
      </w:r>
    </w:p>
    <w:p w14:paraId="0C88139B" w14:textId="77777777" w:rsidR="00443C47" w:rsidRDefault="00443C47" w:rsidP="00443C47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687E2619" w14:textId="5CC99EEA" w:rsidR="0041184B" w:rsidRPr="00443C47" w:rsidRDefault="00443C47" w:rsidP="00443C4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43C47">
              <w:rPr>
                <w:i/>
                <w:sz w:val="24"/>
                <w:szCs w:val="24"/>
              </w:rPr>
              <w:t xml:space="preserve">На земельній ділянці розташований житловий будинок загальною площею </w:t>
            </w:r>
            <w:r>
              <w:rPr>
                <w:i/>
                <w:sz w:val="24"/>
                <w:szCs w:val="24"/>
              </w:rPr>
              <w:t>110</w:t>
            </w:r>
            <w:r w:rsidRPr="00443C4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43C47">
              <w:rPr>
                <w:i/>
                <w:sz w:val="24"/>
                <w:szCs w:val="24"/>
              </w:rPr>
              <w:t>кв.м</w:t>
            </w:r>
            <w:proofErr w:type="spellEnd"/>
            <w:r w:rsidRPr="00443C47">
              <w:rPr>
                <w:i/>
                <w:sz w:val="24"/>
                <w:szCs w:val="24"/>
              </w:rPr>
              <w:t xml:space="preserve">, який належить громадянину </w:t>
            </w:r>
            <w:proofErr w:type="spellStart"/>
            <w:r>
              <w:rPr>
                <w:i/>
                <w:sz w:val="24"/>
                <w:szCs w:val="24"/>
              </w:rPr>
              <w:t>Діордічуку</w:t>
            </w:r>
            <w:proofErr w:type="spellEnd"/>
            <w:r>
              <w:rPr>
                <w:i/>
                <w:sz w:val="24"/>
                <w:szCs w:val="24"/>
              </w:rPr>
              <w:t xml:space="preserve"> І.Г.</w:t>
            </w:r>
            <w:r w:rsidRPr="00443C47">
              <w:rPr>
                <w:i/>
                <w:sz w:val="24"/>
                <w:szCs w:val="24"/>
              </w:rPr>
              <w:t xml:space="preserve">, реєстраційний номер об’єкта нерухомого майна № </w:t>
            </w:r>
            <w:r>
              <w:rPr>
                <w:i/>
                <w:sz w:val="24"/>
                <w:szCs w:val="24"/>
              </w:rPr>
              <w:t>2835026980000</w:t>
            </w:r>
            <w:r w:rsidRPr="00443C47">
              <w:rPr>
                <w:i/>
                <w:sz w:val="24"/>
                <w:szCs w:val="24"/>
              </w:rPr>
              <w:t>, дат</w:t>
            </w:r>
            <w:r>
              <w:rPr>
                <w:i/>
                <w:sz w:val="24"/>
                <w:szCs w:val="24"/>
              </w:rPr>
              <w:t>а</w:t>
            </w:r>
            <w:r w:rsidRPr="00443C47">
              <w:rPr>
                <w:i/>
                <w:sz w:val="24"/>
                <w:szCs w:val="24"/>
              </w:rPr>
              <w:t xml:space="preserve"> державної реєстрації </w:t>
            </w:r>
            <w:r>
              <w:rPr>
                <w:i/>
                <w:sz w:val="24"/>
                <w:szCs w:val="24"/>
              </w:rPr>
              <w:t>18.11.2023</w:t>
            </w:r>
            <w:r w:rsidRPr="00443C47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sz w:val="24"/>
                <w:szCs w:val="24"/>
              </w:rPr>
              <w:t>52643090</w:t>
            </w:r>
            <w:r w:rsidRPr="00443C47">
              <w:rPr>
                <w:i/>
                <w:sz w:val="24"/>
                <w:szCs w:val="24"/>
              </w:rPr>
              <w:t xml:space="preserve"> (інформаційна довідка з Державного реєстру речових прав на нерухоме майно від 17.09.2024 № </w:t>
            </w:r>
            <w:r>
              <w:rPr>
                <w:i/>
                <w:sz w:val="24"/>
                <w:szCs w:val="24"/>
              </w:rPr>
              <w:t>395181559</w:t>
            </w:r>
            <w:r w:rsidRPr="00443C47">
              <w:rPr>
                <w:i/>
                <w:sz w:val="24"/>
                <w:szCs w:val="24"/>
              </w:rPr>
              <w:t>).</w:t>
            </w: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5DF33796" w:rsidR="0041184B" w:rsidRPr="0041184B" w:rsidRDefault="00443C47" w:rsidP="00F83A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443C47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</w:t>
            </w:r>
            <w:r>
              <w:rPr>
                <w:i/>
                <w:sz w:val="24"/>
                <w:szCs w:val="24"/>
              </w:rPr>
              <w:t>рішенням Київської міської ради</w:t>
            </w:r>
            <w:r w:rsidRPr="00443C47">
              <w:rPr>
                <w:i/>
                <w:sz w:val="24"/>
                <w:szCs w:val="24"/>
              </w:rPr>
              <w:t xml:space="preserve"> від 28.03.2002 № 370/1804, земельна ділянка за функціональним призначенням належить до території житлової садибної забудови </w:t>
            </w:r>
            <w:r w:rsidR="00F83AE9">
              <w:rPr>
                <w:i/>
                <w:sz w:val="24"/>
                <w:szCs w:val="24"/>
              </w:rPr>
              <w:t xml:space="preserve">та </w:t>
            </w:r>
            <w:r w:rsidR="00F83AE9" w:rsidRPr="00F83AE9">
              <w:rPr>
                <w:i/>
                <w:sz w:val="24"/>
                <w:szCs w:val="24"/>
              </w:rPr>
              <w:t>заявлена ініціатива відповідає містобудівній документації за функціональним призначенням.</w:t>
            </w:r>
            <w:r w:rsidR="00F83AE9" w:rsidRPr="00443C47">
              <w:rPr>
                <w:i/>
                <w:sz w:val="24"/>
                <w:szCs w:val="24"/>
              </w:rPr>
              <w:t xml:space="preserve"> </w:t>
            </w:r>
            <w:r w:rsidRPr="00443C47">
              <w:rPr>
                <w:i/>
                <w:sz w:val="24"/>
                <w:szCs w:val="24"/>
              </w:rPr>
              <w:t>(лист Департаменту містобудування та архітектури виконавчого органу Київської міської ради (Київської міської державної адміністрації) від 08.08.2024 № 055-749</w:t>
            </w:r>
            <w:r>
              <w:rPr>
                <w:i/>
                <w:sz w:val="24"/>
                <w:szCs w:val="24"/>
              </w:rPr>
              <w:t>9</w:t>
            </w:r>
            <w:r w:rsidRPr="00443C47">
              <w:rPr>
                <w:i/>
                <w:sz w:val="24"/>
                <w:szCs w:val="24"/>
              </w:rPr>
              <w:t>).</w:t>
            </w:r>
            <w:r w:rsidR="00F83AE9" w:rsidRPr="00F83AE9">
              <w:rPr>
                <w:i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ED9210A" w14:textId="77777777" w:rsidR="00443C47" w:rsidRPr="00443C47" w:rsidRDefault="00443C47" w:rsidP="00443C4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Земельна ділянка розташована поза межами червоних ліній.</w:t>
            </w:r>
          </w:p>
          <w:p w14:paraId="0AD54398" w14:textId="77777777" w:rsidR="00443C47" w:rsidRPr="00443C47" w:rsidRDefault="00443C47" w:rsidP="00443C4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надані дозволу на розроблення </w:t>
            </w:r>
            <w:proofErr w:type="spellStart"/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проєкту</w:t>
            </w:r>
            <w:proofErr w:type="spellEnd"/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землеустрою щодо відведення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328ED238" w14:textId="77777777" w:rsidR="00443C47" w:rsidRPr="00443C47" w:rsidRDefault="00443C47" w:rsidP="00443C47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 </w:t>
            </w:r>
          </w:p>
          <w:p w14:paraId="6528D3CD" w14:textId="2C238A6F" w:rsidR="00FD241E" w:rsidRPr="003774B2" w:rsidRDefault="00443C47" w:rsidP="00443C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443C47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F850012" w14:textId="77777777" w:rsidR="00443C47" w:rsidRPr="002247CE" w:rsidRDefault="00443C47" w:rsidP="00443C47">
      <w:pPr>
        <w:pStyle w:val="1"/>
        <w:spacing w:after="0"/>
        <w:ind w:firstLine="426"/>
        <w:jc w:val="both"/>
        <w:rPr>
          <w:sz w:val="24"/>
          <w:szCs w:val="24"/>
        </w:rPr>
      </w:pPr>
      <w:r w:rsidRPr="002247CE">
        <w:rPr>
          <w:sz w:val="24"/>
          <w:szCs w:val="24"/>
        </w:rPr>
        <w:t xml:space="preserve">Загальні засади та порядок </w:t>
      </w:r>
      <w:r w:rsidRPr="0070594F">
        <w:rPr>
          <w:sz w:val="24"/>
          <w:szCs w:val="24"/>
        </w:rPr>
        <w:t>отримання дозволу на розроблення документації із землеустрою визначено</w:t>
      </w:r>
      <w:r w:rsidRPr="002247CE">
        <w:rPr>
          <w:sz w:val="24"/>
          <w:szCs w:val="24"/>
        </w:rPr>
        <w:t xml:space="preserve">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                                      від 20.04.2017 № 241/2463.</w:t>
      </w:r>
    </w:p>
    <w:p w14:paraId="7C6071A0" w14:textId="77777777" w:rsidR="00443C47" w:rsidRPr="002247CE" w:rsidRDefault="00443C47" w:rsidP="00443C47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AF40515" w14:textId="77777777" w:rsidR="00443C47" w:rsidRPr="002247CE" w:rsidRDefault="00443C47" w:rsidP="00443C47">
      <w:pPr>
        <w:pStyle w:val="1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1E73B725" w14:textId="0174296A" w:rsidR="00443C47" w:rsidRDefault="00443C47" w:rsidP="00443C4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proofErr w:type="spellStart"/>
      <w:r w:rsidRPr="002247CE">
        <w:rPr>
          <w:sz w:val="24"/>
          <w:szCs w:val="24"/>
        </w:rPr>
        <w:t>Проєкт</w:t>
      </w:r>
      <w:proofErr w:type="spellEnd"/>
      <w:r w:rsidRPr="002247CE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0656DF2" w14:textId="77777777" w:rsidR="00443C47" w:rsidRDefault="00443C47" w:rsidP="00443C4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410207E6" w14:textId="77777777" w:rsidR="00114807" w:rsidRPr="003774B2" w:rsidRDefault="00114807" w:rsidP="00BC2427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B4608F">
      <w:pPr>
        <w:pStyle w:val="1"/>
        <w:shd w:val="clear" w:color="auto" w:fill="auto"/>
        <w:ind w:firstLine="426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0672B28" w14:textId="77777777" w:rsidR="00F83AE9" w:rsidRPr="003774B2" w:rsidRDefault="00F83AE9" w:rsidP="00F83AE9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</w:rPr>
      </w:pPr>
      <w:r w:rsidRPr="0070594F">
        <w:rPr>
          <w:sz w:val="24"/>
          <w:szCs w:val="24"/>
        </w:rPr>
        <w:t xml:space="preserve">Наслідками прийняття розробленого </w:t>
      </w:r>
      <w:proofErr w:type="spellStart"/>
      <w:r w:rsidRPr="0070594F">
        <w:rPr>
          <w:sz w:val="24"/>
          <w:szCs w:val="24"/>
        </w:rPr>
        <w:t>проєкту</w:t>
      </w:r>
      <w:proofErr w:type="spellEnd"/>
      <w:r w:rsidRPr="0070594F">
        <w:rPr>
          <w:sz w:val="24"/>
          <w:szCs w:val="24"/>
        </w:rPr>
        <w:t xml:space="preserve"> рішення стане реалізація зацікавлен</w:t>
      </w:r>
      <w:r>
        <w:rPr>
          <w:sz w:val="24"/>
          <w:szCs w:val="24"/>
        </w:rPr>
        <w:t xml:space="preserve">ою </w:t>
      </w:r>
      <w:r w:rsidRPr="0070594F">
        <w:rPr>
          <w:sz w:val="24"/>
          <w:szCs w:val="24"/>
        </w:rPr>
        <w:t>особ</w:t>
      </w:r>
      <w:r>
        <w:rPr>
          <w:sz w:val="24"/>
          <w:szCs w:val="24"/>
        </w:rPr>
        <w:t>ою</w:t>
      </w:r>
      <w:r w:rsidRPr="0070594F">
        <w:rPr>
          <w:sz w:val="24"/>
          <w:szCs w:val="24"/>
        </w:rPr>
        <w:t xml:space="preserve"> своїх прав щодо </w:t>
      </w:r>
      <w:r>
        <w:rPr>
          <w:sz w:val="24"/>
          <w:szCs w:val="24"/>
        </w:rPr>
        <w:t>володіння</w:t>
      </w:r>
      <w:r w:rsidRPr="0070594F">
        <w:rPr>
          <w:sz w:val="24"/>
          <w:szCs w:val="24"/>
        </w:rPr>
        <w:t xml:space="preserve"> земельною ділянкою.</w:t>
      </w:r>
    </w:p>
    <w:p w14:paraId="3A4FB597" w14:textId="77777777" w:rsidR="00B4608F" w:rsidRPr="003774B2" w:rsidRDefault="00B4608F" w:rsidP="00FF5BC7">
      <w:pPr>
        <w:pStyle w:val="1"/>
        <w:shd w:val="clear" w:color="auto" w:fill="auto"/>
        <w:spacing w:after="120"/>
        <w:ind w:firstLine="0"/>
        <w:rPr>
          <w:sz w:val="24"/>
          <w:szCs w:val="24"/>
        </w:rPr>
      </w:pP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443C47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земельних</w:t>
            </w:r>
            <w:proofErr w:type="spellEnd"/>
            <w:r w:rsidR="006674A5" w:rsidRPr="006674A5"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74A5" w:rsidRPr="006674A5">
              <w:rPr>
                <w:rStyle w:val="af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default" r:id="rId10"/>
      <w:footerReference w:type="default" r:id="rId11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B01C5" w14:textId="77777777" w:rsidR="001D6DF8" w:rsidRDefault="001D6DF8">
      <w:r>
        <w:separator/>
      </w:r>
    </w:p>
  </w:endnote>
  <w:endnote w:type="continuationSeparator" w:id="0">
    <w:p w14:paraId="3844E626" w14:textId="77777777" w:rsidR="001D6DF8" w:rsidRDefault="001D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E211F" w14:textId="77777777" w:rsidR="001D6DF8" w:rsidRDefault="001D6DF8"/>
  </w:footnote>
  <w:footnote w:type="continuationSeparator" w:id="0">
    <w:p w14:paraId="084865C8" w14:textId="77777777" w:rsidR="001D6DF8" w:rsidRDefault="001D6D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06E88E8A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</w:t>
    </w:r>
    <w:r w:rsidR="00443C47">
      <w:rPr>
        <w:sz w:val="12"/>
        <w:szCs w:val="12"/>
      </w:rPr>
      <w:t xml:space="preserve"> </w:t>
    </w:r>
    <w:r>
      <w:rPr>
        <w:sz w:val="12"/>
        <w:szCs w:val="12"/>
      </w:rPr>
      <w:t xml:space="preserve">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443C47">
      <w:rPr>
        <w:sz w:val="12"/>
        <w:szCs w:val="12"/>
        <w:lang w:val="ru-RU"/>
      </w:rPr>
      <w:t>ПЗН-71196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17.09.2024</w:t>
    </w:r>
    <w:r w:rsidR="00862990">
      <w:rPr>
        <w:sz w:val="12"/>
        <w:szCs w:val="12"/>
      </w:rPr>
      <w:t xml:space="preserve"> до клопотання 679980174</w:t>
    </w:r>
  </w:p>
  <w:p w14:paraId="2E60DAB9" w14:textId="35962047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83AE9" w:rsidRPr="00F83AE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D6DF8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43C47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32DD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870B5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B44EB"/>
    <w:rsid w:val="009B470E"/>
    <w:rsid w:val="009B6FA8"/>
    <w:rsid w:val="009C5EF0"/>
    <w:rsid w:val="009D0682"/>
    <w:rsid w:val="009D391D"/>
    <w:rsid w:val="009E22F3"/>
    <w:rsid w:val="009E473F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4608F"/>
    <w:rsid w:val="00B76A35"/>
    <w:rsid w:val="00B90FAD"/>
    <w:rsid w:val="00B975D8"/>
    <w:rsid w:val="00BA02ED"/>
    <w:rsid w:val="00BA3AB4"/>
    <w:rsid w:val="00BB2AE1"/>
    <w:rsid w:val="00BC2427"/>
    <w:rsid w:val="00BD4A71"/>
    <w:rsid w:val="00C12782"/>
    <w:rsid w:val="00C16815"/>
    <w:rsid w:val="00C22081"/>
    <w:rsid w:val="00C4349F"/>
    <w:rsid w:val="00C55D40"/>
    <w:rsid w:val="00C8138C"/>
    <w:rsid w:val="00C863CE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5834"/>
    <w:rsid w:val="00F47E79"/>
    <w:rsid w:val="00F512E5"/>
    <w:rsid w:val="00F54AEB"/>
    <w:rsid w:val="00F66157"/>
    <w:rsid w:val="00F66987"/>
    <w:rsid w:val="00F66E0E"/>
    <w:rsid w:val="00F7097B"/>
    <w:rsid w:val="00F81254"/>
    <w:rsid w:val="00F83AE9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nataliya.filipenko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4913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Філіпенко Наталія Анатоліївна</dc:creator>
  <cp:keywords>{"doc_type_id":110,"doc_type_name":"Пояснювальна_записка Фіз передача дозвіл (клопотання)","doc_type_file":"Фіз_клопотання_дозвіл.docx"}</cp:keywords>
  <cp:lastModifiedBy>Філіпенко Наталія Анатоліївна</cp:lastModifiedBy>
  <cp:revision>3</cp:revision>
  <cp:lastPrinted>2024-09-19T14:13:00Z</cp:lastPrinted>
  <dcterms:created xsi:type="dcterms:W3CDTF">2024-09-17T08:41:00Z</dcterms:created>
  <dcterms:modified xsi:type="dcterms:W3CDTF">2024-09-19T14:23:00Z</dcterms:modified>
</cp:coreProperties>
</file>