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25165824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679963838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0AFBC6E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5156AF" w:rsidP="005156AF" w:rsidRDefault="005156AF" w14:paraId="11E16A46" w14:textId="1560E418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8A338E" w:rsidP="005156AF" w:rsidRDefault="007B72F8" w14:paraId="0FB6BE5F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5156AF" w:rsidR="00D40637">
                        <w:rPr>
                          <w:b/>
                          <w:bCs/>
                          <w:sz w:val="24"/>
                          <w:szCs w:val="24"/>
                        </w:rPr>
                        <w:t>679963838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1" behindDoc="1" locked="0" layoutInCell="1" allowOverlap="1" wp14:anchorId="3898D197" wp14:editId="3AE1CF97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8634C9">
        <w:rPr>
          <w:b/>
          <w:bCs/>
          <w:i w:val="0"/>
          <w:iCs w:val="0"/>
          <w:sz w:val="24"/>
          <w:szCs w:val="24"/>
          <w:lang w:val="ru-RU"/>
        </w:rPr>
        <w:t>ПЗН-69208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8634C9">
        <w:rPr>
          <w:b/>
          <w:bCs/>
          <w:i w:val="0"/>
          <w:sz w:val="24"/>
          <w:szCs w:val="24"/>
          <w:lang w:val="ru-RU"/>
        </w:rPr>
        <w:t>31.07.2024</w:t>
      </w:r>
    </w:p>
    <w:p w14:paraId="427A906E" w14:textId="1D90E842" w:rsidR="008A338E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5510F345" w14:textId="6732E168" w:rsidR="006F6723" w:rsidRDefault="003C22FE" w:rsidP="003C22F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3C22FE">
        <w:rPr>
          <w:rFonts w:eastAsia="Georgia"/>
          <w:b/>
          <w:i/>
          <w:iCs/>
          <w:sz w:val="24"/>
          <w:szCs w:val="24"/>
        </w:rPr>
        <w:t>Про поновлення строку дії рішень Київської міської ради від 02 березня 2023 року № 6157/6198, № 6161/6202  та № 6163/6204</w:t>
      </w:r>
    </w:p>
    <w:p w14:paraId="25FE3B88" w14:textId="77777777" w:rsidR="003C22FE" w:rsidRPr="003C22FE" w:rsidRDefault="003C22FE" w:rsidP="003C22F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</w:p>
    <w:p w14:paraId="7485B5AA" w14:textId="4FF1F8F5" w:rsidR="00E94376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p w14:paraId="10E8B728" w14:textId="77777777" w:rsidR="006F6723" w:rsidRDefault="006F6723" w:rsidP="006F6723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АКЦІОНЕРНЕ ТОВАРИСТВО «УКРТЕЛЕКОМ»</w:t>
            </w:r>
          </w:p>
        </w:tc>
      </w:tr>
      <w:tr w:rsidR="00E94376" w:rsidRPr="0057685E" w14:paraId="771EC876" w14:textId="77777777" w:rsidTr="008634C9">
        <w:trPr>
          <w:cantSplit/>
          <w:trHeight w:val="670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6715A061" w:rsidR="007812BA" w:rsidRPr="0057685E" w:rsidRDefault="003B3924" w:rsidP="008634C9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08C13519" w14:textId="592A46C5" w:rsidR="00E94376" w:rsidRPr="0057685E" w:rsidRDefault="008634C9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634C9"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5339FAE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3666BE52" w:rsidR="00E94376" w:rsidRPr="0057685E" w:rsidRDefault="00CC2BB9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bookmarkStart w:id="0" w:name="_GoBack"/>
            <w:bookmarkEnd w:id="0"/>
            <w:r w:rsidRPr="0057685E">
              <w:rPr>
                <w:b w:val="0"/>
                <w:i/>
                <w:sz w:val="24"/>
                <w:szCs w:val="24"/>
              </w:rPr>
              <w:t>сутній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29.07.2024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679963838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4335BE85" w14:textId="77777777" w:rsidR="006F6723" w:rsidRDefault="006F6723" w:rsidP="006F6723">
      <w:pPr>
        <w:pStyle w:val="a7"/>
        <w:shd w:val="clear" w:color="auto" w:fill="auto"/>
        <w:ind w:left="704"/>
        <w:rPr>
          <w:sz w:val="24"/>
          <w:szCs w:val="24"/>
        </w:rPr>
      </w:pPr>
    </w:p>
    <w:p w14:paraId="680B9352" w14:textId="2E991E8C" w:rsidR="00080D65" w:rsidRPr="008634C9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634C9">
        <w:rPr>
          <w:sz w:val="24"/>
          <w:szCs w:val="24"/>
        </w:rPr>
        <w:t>Відомості про земельн</w:t>
      </w:r>
      <w:r w:rsidR="008634C9">
        <w:rPr>
          <w:sz w:val="24"/>
          <w:szCs w:val="24"/>
        </w:rPr>
        <w:t>і</w:t>
      </w:r>
      <w:r w:rsidRPr="008634C9">
        <w:rPr>
          <w:sz w:val="24"/>
          <w:szCs w:val="24"/>
        </w:rPr>
        <w:t xml:space="preserve"> ділянк</w:t>
      </w:r>
      <w:r w:rsidR="008634C9">
        <w:rPr>
          <w:sz w:val="24"/>
          <w:szCs w:val="24"/>
        </w:rPr>
        <w:t>и</w:t>
      </w:r>
      <w:r w:rsidRPr="008634C9">
        <w:rPr>
          <w:sz w:val="24"/>
          <w:szCs w:val="24"/>
        </w:rPr>
        <w:t xml:space="preserve"> (</w:t>
      </w:r>
      <w:r w:rsidR="008634C9">
        <w:rPr>
          <w:sz w:val="24"/>
          <w:szCs w:val="24"/>
        </w:rPr>
        <w:t>кадастрові</w:t>
      </w:r>
      <w:r w:rsidRPr="008634C9">
        <w:rPr>
          <w:sz w:val="24"/>
          <w:szCs w:val="24"/>
        </w:rPr>
        <w:t xml:space="preserve"> </w:t>
      </w:r>
      <w:r w:rsidR="008634C9">
        <w:rPr>
          <w:sz w:val="24"/>
          <w:szCs w:val="24"/>
        </w:rPr>
        <w:t>№</w:t>
      </w:r>
      <w:r w:rsidRPr="008634C9">
        <w:rPr>
          <w:sz w:val="24"/>
          <w:szCs w:val="24"/>
        </w:rPr>
        <w:t xml:space="preserve">№ </w:t>
      </w:r>
      <w:r w:rsidR="0027157C" w:rsidRPr="008634C9">
        <w:rPr>
          <w:sz w:val="24"/>
          <w:szCs w:val="24"/>
        </w:rPr>
        <w:t>8000000000:75:205:0004; 8000000000:78:019:0005; 8000000000:72:257:0010</w:t>
      </w:r>
      <w:r w:rsidRPr="008634C9">
        <w:rPr>
          <w:sz w:val="24"/>
          <w:szCs w:val="24"/>
        </w:rPr>
        <w:t>)</w:t>
      </w:r>
      <w:r w:rsidR="00726D11" w:rsidRPr="008634C9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8634C9">
        <w:trPr>
          <w:trHeight w:hRule="exact" w:val="998"/>
        </w:trPr>
        <w:tc>
          <w:tcPr>
            <w:tcW w:w="3293" w:type="dxa"/>
            <w:shd w:val="clear" w:color="auto" w:fill="FFFFFF"/>
          </w:tcPr>
          <w:p w14:paraId="756C52D2" w14:textId="5A37E84C" w:rsidR="008A338E" w:rsidRPr="0057685E" w:rsidRDefault="003B3924" w:rsidP="005959C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</w:t>
            </w:r>
            <w:r w:rsidR="005959C4">
              <w:rPr>
                <w:sz w:val="24"/>
                <w:szCs w:val="24"/>
              </w:rPr>
              <w:t>и</w:t>
            </w:r>
            <w:r w:rsidR="007B72F8" w:rsidRPr="0057685E">
              <w:rPr>
                <w:sz w:val="24"/>
                <w:szCs w:val="24"/>
              </w:rPr>
              <w:t>)</w:t>
            </w:r>
          </w:p>
        </w:tc>
        <w:tc>
          <w:tcPr>
            <w:tcW w:w="6346" w:type="dxa"/>
            <w:shd w:val="clear" w:color="auto" w:fill="FFFFFF"/>
          </w:tcPr>
          <w:p w14:paraId="57B24410" w14:textId="23C8B1B5" w:rsidR="008A338E" w:rsidRPr="0057685E" w:rsidRDefault="007B72F8" w:rsidP="008634C9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Святошинський</w:t>
            </w:r>
            <w:r w:rsidR="008634C9" w:rsidRPr="0057685E">
              <w:rPr>
                <w:i/>
                <w:iCs/>
                <w:sz w:val="24"/>
                <w:szCs w:val="24"/>
              </w:rPr>
              <w:t xml:space="preserve"> Брест-Литовське шосе, 17</w:t>
            </w:r>
            <w:r w:rsidR="0027157C" w:rsidRPr="0057685E">
              <w:rPr>
                <w:i/>
                <w:iCs/>
                <w:sz w:val="24"/>
                <w:szCs w:val="24"/>
              </w:rPr>
              <w:t>; Оболонський</w:t>
            </w:r>
            <w:r w:rsidR="008634C9">
              <w:rPr>
                <w:i/>
                <w:iCs/>
                <w:sz w:val="24"/>
                <w:szCs w:val="24"/>
              </w:rPr>
              <w:t>,</w:t>
            </w:r>
            <w:r w:rsidR="008634C9" w:rsidRPr="0057685E">
              <w:rPr>
                <w:i/>
                <w:iCs/>
                <w:sz w:val="24"/>
                <w:szCs w:val="24"/>
              </w:rPr>
              <w:t xml:space="preserve"> </w:t>
            </w:r>
            <w:r w:rsidR="008634C9">
              <w:rPr>
                <w:i/>
                <w:iCs/>
                <w:sz w:val="24"/>
                <w:szCs w:val="24"/>
              </w:rPr>
              <w:t>вул. Панча Петра</w:t>
            </w:r>
            <w:r w:rsidR="00233A10">
              <w:rPr>
                <w:i/>
                <w:iCs/>
                <w:sz w:val="24"/>
                <w:szCs w:val="24"/>
              </w:rPr>
              <w:t>, 3-А</w:t>
            </w:r>
            <w:r w:rsidR="0027157C" w:rsidRPr="0057685E">
              <w:rPr>
                <w:i/>
                <w:iCs/>
                <w:sz w:val="24"/>
                <w:szCs w:val="24"/>
              </w:rPr>
              <w:t>; Солом'янський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33A10">
              <w:rPr>
                <w:i/>
                <w:iCs/>
                <w:sz w:val="24"/>
                <w:szCs w:val="24"/>
              </w:rPr>
              <w:t xml:space="preserve">                           </w:t>
            </w:r>
            <w:r w:rsidR="0027157C" w:rsidRPr="0057685E">
              <w:rPr>
                <w:i/>
                <w:iCs/>
                <w:sz w:val="24"/>
                <w:szCs w:val="24"/>
              </w:rPr>
              <w:t>вул. Пулюя Івана, 1-В</w:t>
            </w:r>
            <w:r w:rsidR="008634C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8A338E" w:rsidRPr="0057685E" w14:paraId="5B94B40E" w14:textId="77777777" w:rsidTr="008634C9">
        <w:trPr>
          <w:trHeight w:hRule="exact" w:val="985"/>
        </w:trPr>
        <w:tc>
          <w:tcPr>
            <w:tcW w:w="3293" w:type="dxa"/>
            <w:shd w:val="clear" w:color="auto" w:fill="FFFFFF"/>
          </w:tcPr>
          <w:p w14:paraId="69AA7781" w14:textId="58F8B260" w:rsidR="008A338E" w:rsidRPr="0057685E" w:rsidRDefault="003B3924" w:rsidP="008634C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</w:t>
            </w:r>
            <w:r w:rsidR="008634C9">
              <w:rPr>
                <w:sz w:val="24"/>
                <w:szCs w:val="24"/>
              </w:rPr>
              <w:t>і</w:t>
            </w:r>
          </w:p>
        </w:tc>
        <w:tc>
          <w:tcPr>
            <w:tcW w:w="6346" w:type="dxa"/>
            <w:shd w:val="clear" w:color="auto" w:fill="FFFFFF"/>
          </w:tcPr>
          <w:p w14:paraId="60D7B949" w14:textId="38FDA85C" w:rsidR="008634C9" w:rsidRPr="008634C9" w:rsidRDefault="008634C9" w:rsidP="008634C9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  <w:r w:rsidRPr="008634C9">
              <w:rPr>
                <w:i/>
                <w:iCs/>
                <w:sz w:val="24"/>
                <w:szCs w:val="24"/>
              </w:rPr>
              <w:t>8000000000:7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8634C9">
              <w:rPr>
                <w:i/>
                <w:iCs/>
                <w:sz w:val="24"/>
                <w:szCs w:val="24"/>
              </w:rPr>
              <w:t>:</w:t>
            </w:r>
            <w:r>
              <w:rPr>
                <w:i/>
                <w:iCs/>
                <w:sz w:val="24"/>
                <w:szCs w:val="24"/>
              </w:rPr>
              <w:t>205</w:t>
            </w:r>
            <w:r w:rsidRPr="008634C9">
              <w:rPr>
                <w:i/>
                <w:iCs/>
                <w:sz w:val="24"/>
                <w:szCs w:val="24"/>
              </w:rPr>
              <w:t>:000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8634C9">
              <w:rPr>
                <w:i/>
                <w:iCs/>
                <w:sz w:val="24"/>
                <w:szCs w:val="24"/>
              </w:rPr>
              <w:t xml:space="preserve"> </w:t>
            </w:r>
            <w:r w:rsidR="0046089A">
              <w:rPr>
                <w:i/>
                <w:iCs/>
                <w:sz w:val="24"/>
                <w:szCs w:val="24"/>
              </w:rPr>
              <w:t>-</w:t>
            </w:r>
            <w:r w:rsidRPr="008634C9">
              <w:rPr>
                <w:i/>
                <w:iCs/>
                <w:sz w:val="24"/>
                <w:szCs w:val="24"/>
              </w:rPr>
              <w:t xml:space="preserve"> 0,</w:t>
            </w:r>
            <w:r>
              <w:rPr>
                <w:i/>
                <w:iCs/>
                <w:sz w:val="24"/>
                <w:szCs w:val="24"/>
              </w:rPr>
              <w:t>2452</w:t>
            </w:r>
            <w:r w:rsidRPr="008634C9">
              <w:rPr>
                <w:i/>
                <w:iCs/>
                <w:sz w:val="24"/>
                <w:szCs w:val="24"/>
              </w:rPr>
              <w:t xml:space="preserve"> га; </w:t>
            </w:r>
          </w:p>
          <w:p w14:paraId="6E2770FF" w14:textId="70C7C8B8" w:rsidR="008A338E" w:rsidRDefault="008634C9" w:rsidP="008634C9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8634C9">
              <w:rPr>
                <w:i/>
                <w:iCs/>
                <w:sz w:val="24"/>
                <w:szCs w:val="24"/>
              </w:rPr>
              <w:t>8000000000:78:</w:t>
            </w:r>
            <w:r>
              <w:rPr>
                <w:i/>
                <w:iCs/>
                <w:sz w:val="24"/>
                <w:szCs w:val="24"/>
              </w:rPr>
              <w:t>019</w:t>
            </w:r>
            <w:r w:rsidRPr="008634C9">
              <w:rPr>
                <w:i/>
                <w:iCs/>
                <w:sz w:val="24"/>
                <w:szCs w:val="24"/>
              </w:rPr>
              <w:t>:000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8634C9">
              <w:rPr>
                <w:i/>
                <w:iCs/>
                <w:sz w:val="24"/>
                <w:szCs w:val="24"/>
              </w:rPr>
              <w:t xml:space="preserve"> - 0,</w:t>
            </w:r>
            <w:r>
              <w:rPr>
                <w:i/>
                <w:iCs/>
                <w:sz w:val="24"/>
                <w:szCs w:val="24"/>
              </w:rPr>
              <w:t>0558</w:t>
            </w:r>
            <w:r w:rsidRPr="008634C9">
              <w:rPr>
                <w:i/>
                <w:iCs/>
                <w:sz w:val="24"/>
                <w:szCs w:val="24"/>
              </w:rPr>
              <w:t xml:space="preserve"> га</w:t>
            </w:r>
          </w:p>
          <w:p w14:paraId="4BB78C78" w14:textId="2B0321CA" w:rsidR="008634C9" w:rsidRPr="0057685E" w:rsidRDefault="008634C9" w:rsidP="008634C9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634C9">
              <w:rPr>
                <w:i/>
                <w:iCs/>
                <w:sz w:val="24"/>
                <w:szCs w:val="24"/>
              </w:rPr>
              <w:t>8000000000:</w:t>
            </w:r>
            <w:r>
              <w:rPr>
                <w:i/>
                <w:iCs/>
                <w:sz w:val="24"/>
                <w:szCs w:val="24"/>
              </w:rPr>
              <w:t>72</w:t>
            </w:r>
            <w:r w:rsidRPr="008634C9">
              <w:rPr>
                <w:i/>
                <w:iCs/>
                <w:sz w:val="24"/>
                <w:szCs w:val="24"/>
              </w:rPr>
              <w:t>:</w:t>
            </w:r>
            <w:r>
              <w:rPr>
                <w:i/>
                <w:iCs/>
                <w:sz w:val="24"/>
                <w:szCs w:val="24"/>
              </w:rPr>
              <w:t>257</w:t>
            </w:r>
            <w:r w:rsidRPr="008634C9">
              <w:rPr>
                <w:i/>
                <w:iCs/>
                <w:sz w:val="24"/>
                <w:szCs w:val="24"/>
              </w:rPr>
              <w:t>:0</w:t>
            </w:r>
            <w:r>
              <w:rPr>
                <w:i/>
                <w:iCs/>
                <w:sz w:val="24"/>
                <w:szCs w:val="24"/>
              </w:rPr>
              <w:t>010</w:t>
            </w:r>
            <w:r w:rsidRPr="008634C9">
              <w:rPr>
                <w:i/>
                <w:iCs/>
                <w:sz w:val="24"/>
                <w:szCs w:val="24"/>
              </w:rPr>
              <w:t xml:space="preserve"> - 0,</w:t>
            </w:r>
            <w:r>
              <w:rPr>
                <w:i/>
                <w:iCs/>
                <w:sz w:val="24"/>
                <w:szCs w:val="24"/>
              </w:rPr>
              <w:t>0507</w:t>
            </w:r>
            <w:r w:rsidRPr="008634C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3B92228E" w:rsidR="008A338E" w:rsidRPr="00FC628C" w:rsidRDefault="00FC628C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FC628C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FC628C" w:rsidRPr="0057685E" w14:paraId="27702FE9" w14:textId="77777777" w:rsidTr="007E433B">
        <w:trPr>
          <w:trHeight w:hRule="exact" w:val="691"/>
        </w:trPr>
        <w:tc>
          <w:tcPr>
            <w:tcW w:w="3293" w:type="dxa"/>
            <w:shd w:val="clear" w:color="auto" w:fill="FFFFFF"/>
          </w:tcPr>
          <w:p w14:paraId="2C9BDBEE" w14:textId="20A2BD40" w:rsidR="00FC628C" w:rsidRPr="0057685E" w:rsidRDefault="00FC628C" w:rsidP="00FC628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</w:rPr>
              <w:t xml:space="preserve"> Категорія земель</w:t>
            </w:r>
          </w:p>
        </w:tc>
        <w:tc>
          <w:tcPr>
            <w:tcW w:w="6346" w:type="dxa"/>
            <w:shd w:val="clear" w:color="auto" w:fill="FFFFFF"/>
          </w:tcPr>
          <w:p w14:paraId="7250F913" w14:textId="0B8121BE" w:rsidR="00FC628C" w:rsidRPr="00FC628C" w:rsidRDefault="00FC628C" w:rsidP="00FC628C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77291">
              <w:rPr>
                <w:i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FC628C" w:rsidRPr="0057685E" w14:paraId="62AD6411" w14:textId="77777777" w:rsidTr="00FC628C">
        <w:trPr>
          <w:trHeight w:hRule="exact" w:val="705"/>
        </w:trPr>
        <w:tc>
          <w:tcPr>
            <w:tcW w:w="3293" w:type="dxa"/>
            <w:shd w:val="clear" w:color="auto" w:fill="FFFFFF"/>
          </w:tcPr>
          <w:p w14:paraId="0A9F81E8" w14:textId="30E4BAB1" w:rsidR="00FC628C" w:rsidRPr="001774CA" w:rsidRDefault="00FC628C" w:rsidP="00FC628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772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244769AA" w14:textId="64D2CCEF" w:rsidR="00FC628C" w:rsidRPr="00277291" w:rsidRDefault="00FC628C" w:rsidP="003277CA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C628C">
              <w:rPr>
                <w:i/>
                <w:sz w:val="24"/>
                <w:szCs w:val="24"/>
              </w:rPr>
              <w:t xml:space="preserve">13.01 для розміщення та експлуатації об'єктів і споруд </w:t>
            </w:r>
            <w:r w:rsidR="003277CA">
              <w:rPr>
                <w:i/>
                <w:sz w:val="24"/>
                <w:szCs w:val="24"/>
              </w:rPr>
              <w:t>електронних комунікацій</w:t>
            </w:r>
          </w:p>
        </w:tc>
      </w:tr>
      <w:tr w:rsidR="0046089A" w:rsidRPr="0057685E" w14:paraId="2FABE59B" w14:textId="77777777" w:rsidTr="007E433B">
        <w:trPr>
          <w:trHeight w:hRule="exact" w:val="956"/>
        </w:trPr>
        <w:tc>
          <w:tcPr>
            <w:tcW w:w="3293" w:type="dxa"/>
            <w:shd w:val="clear" w:color="auto" w:fill="FFFFFF"/>
          </w:tcPr>
          <w:p w14:paraId="695EB6B5" w14:textId="77777777" w:rsidR="0046089A" w:rsidRPr="0046089A" w:rsidRDefault="0046089A" w:rsidP="0046089A">
            <w:pPr>
              <w:pStyle w:val="1"/>
              <w:shd w:val="clear" w:color="auto" w:fill="auto"/>
              <w:spacing w:after="80" w:line="201" w:lineRule="auto"/>
              <w:rPr>
                <w:i w:val="0"/>
                <w:color w:val="auto"/>
                <w:sz w:val="24"/>
                <w:szCs w:val="24"/>
              </w:rPr>
            </w:pPr>
            <w:r w:rsidRPr="0046089A">
              <w:rPr>
                <w:i w:val="0"/>
                <w:color w:val="auto"/>
                <w:sz w:val="24"/>
                <w:szCs w:val="24"/>
              </w:rPr>
              <w:t>Нормативна грошова оцінка</w:t>
            </w:r>
          </w:p>
          <w:p w14:paraId="1B4B8E62" w14:textId="2220D7F0" w:rsidR="0046089A" w:rsidRPr="0046089A" w:rsidRDefault="0046089A" w:rsidP="0046089A">
            <w:pPr>
              <w:pStyle w:val="1"/>
              <w:shd w:val="clear" w:color="auto" w:fill="auto"/>
              <w:spacing w:after="80" w:line="201" w:lineRule="auto"/>
              <w:rPr>
                <w:i w:val="0"/>
                <w:color w:val="auto"/>
                <w:sz w:val="24"/>
                <w:szCs w:val="24"/>
              </w:rPr>
            </w:pPr>
            <w:r w:rsidRPr="0046089A">
              <w:rPr>
                <w:i w:val="0"/>
                <w:color w:val="auto"/>
                <w:sz w:val="24"/>
                <w:szCs w:val="24"/>
              </w:rPr>
              <w:t>(</w:t>
            </w:r>
            <w:r w:rsidRPr="0046089A">
              <w:rPr>
                <w:i w:val="0"/>
                <w:color w:val="auto"/>
                <w:sz w:val="20"/>
                <w:szCs w:val="20"/>
              </w:rPr>
              <w:t>за попереднім розрахунком</w:t>
            </w:r>
            <w:r w:rsidRPr="0046089A">
              <w:rPr>
                <w:i w:val="0"/>
                <w:color w:val="auto"/>
                <w:sz w:val="24"/>
                <w:szCs w:val="24"/>
              </w:rPr>
              <w:t>*)</w:t>
            </w:r>
          </w:p>
        </w:tc>
        <w:tc>
          <w:tcPr>
            <w:tcW w:w="6346" w:type="dxa"/>
            <w:shd w:val="clear" w:color="auto" w:fill="FFFFFF"/>
          </w:tcPr>
          <w:p w14:paraId="0F7F8D69" w14:textId="7380ECF6" w:rsidR="0046089A" w:rsidRPr="0014214C" w:rsidRDefault="0046089A" w:rsidP="0046089A">
            <w:pPr>
              <w:spacing w:line="269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r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/>
              </w:rPr>
              <w:t xml:space="preserve">8000000000:75:205:0004 </w:t>
            </w:r>
            <w:r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- </w:t>
            </w:r>
            <w:r w:rsidR="0014214C"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4 307</w:t>
            </w:r>
            <w:r w:rsid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 </w:t>
            </w:r>
            <w:r w:rsidR="0014214C"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633 </w:t>
            </w:r>
            <w:r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грн </w:t>
            </w:r>
            <w:r w:rsidR="0014214C"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26</w:t>
            </w:r>
            <w:r w:rsidRPr="0014214C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 коп.</w:t>
            </w:r>
          </w:p>
          <w:p w14:paraId="63960E47" w14:textId="60EC1B2A" w:rsidR="0046089A" w:rsidRPr="0014214C" w:rsidRDefault="0046089A" w:rsidP="0046089A">
            <w:pPr>
              <w:pStyle w:val="1"/>
              <w:shd w:val="clear" w:color="auto" w:fill="auto"/>
              <w:spacing w:after="80" w:line="201" w:lineRule="auto"/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</w:pPr>
            <w:r w:rsidRPr="008634C9">
              <w:rPr>
                <w:sz w:val="24"/>
                <w:szCs w:val="24"/>
              </w:rPr>
              <w:t>8000000000:78:</w:t>
            </w:r>
            <w:r>
              <w:rPr>
                <w:sz w:val="24"/>
                <w:szCs w:val="24"/>
              </w:rPr>
              <w:t>019</w:t>
            </w:r>
            <w:r w:rsidRPr="008634C9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5</w:t>
            </w:r>
            <w:r w:rsidRP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 xml:space="preserve">- </w:t>
            </w:r>
            <w:r w:rsidR="0014214C" w:rsidRP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>1 326</w:t>
            </w:r>
            <w:r w:rsid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> </w:t>
            </w:r>
            <w:r w:rsidR="0014214C" w:rsidRP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>946</w:t>
            </w:r>
            <w:r w:rsidR="0014214C" w:rsidRPr="006F6723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 xml:space="preserve"> </w:t>
            </w:r>
            <w:r w:rsidRP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 xml:space="preserve">грн </w:t>
            </w:r>
            <w:r w:rsidR="0014214C" w:rsidRPr="006F6723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>46</w:t>
            </w:r>
            <w:r w:rsidRPr="0014214C">
              <w:rPr>
                <w:rFonts w:eastAsiaTheme="minorHAnsi"/>
                <w:color w:val="auto"/>
                <w:sz w:val="24"/>
                <w:szCs w:val="24"/>
                <w:lang w:val="ru-RU" w:eastAsia="en-US" w:bidi="ar-SA"/>
              </w:rPr>
              <w:t xml:space="preserve"> коп.</w:t>
            </w:r>
          </w:p>
          <w:p w14:paraId="3CA20BCF" w14:textId="057B756E" w:rsidR="0046089A" w:rsidRPr="0046089A" w:rsidRDefault="0046089A" w:rsidP="007E433B">
            <w:pPr>
              <w:pStyle w:val="1"/>
              <w:shd w:val="clear" w:color="auto" w:fill="auto"/>
              <w:spacing w:after="80" w:line="201" w:lineRule="auto"/>
              <w:rPr>
                <w:i w:val="0"/>
                <w:color w:val="auto"/>
                <w:sz w:val="24"/>
                <w:szCs w:val="24"/>
              </w:rPr>
            </w:pPr>
            <w:r w:rsidRPr="008634C9">
              <w:rPr>
                <w:sz w:val="24"/>
                <w:szCs w:val="24"/>
              </w:rPr>
              <w:t>8000000000:</w:t>
            </w:r>
            <w:r>
              <w:rPr>
                <w:sz w:val="24"/>
                <w:szCs w:val="24"/>
              </w:rPr>
              <w:t>72</w:t>
            </w:r>
            <w:r w:rsidRPr="008634C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257</w:t>
            </w:r>
            <w:r w:rsidRPr="008634C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 xml:space="preserve">010 - </w:t>
            </w:r>
            <w:r w:rsidR="007E433B">
              <w:rPr>
                <w:sz w:val="24"/>
                <w:szCs w:val="24"/>
              </w:rPr>
              <w:t>1696046</w:t>
            </w:r>
            <w:r w:rsidRPr="0046089A">
              <w:rPr>
                <w:sz w:val="24"/>
                <w:szCs w:val="24"/>
              </w:rPr>
              <w:t xml:space="preserve"> грн </w:t>
            </w:r>
            <w:r w:rsidR="007E433B">
              <w:rPr>
                <w:sz w:val="24"/>
                <w:szCs w:val="24"/>
              </w:rPr>
              <w:t>74</w:t>
            </w:r>
            <w:r w:rsidRPr="0046089A">
              <w:rPr>
                <w:sz w:val="24"/>
                <w:szCs w:val="24"/>
              </w:rPr>
              <w:t xml:space="preserve"> коп.</w:t>
            </w:r>
          </w:p>
        </w:tc>
      </w:tr>
    </w:tbl>
    <w:p w14:paraId="676D8F6C" w14:textId="1F019FDD" w:rsidR="0046089A" w:rsidRPr="0057138F" w:rsidRDefault="0046089A" w:rsidP="0046089A">
      <w:pPr>
        <w:shd w:val="clear" w:color="auto" w:fill="FFFFFF"/>
        <w:tabs>
          <w:tab w:val="left" w:pos="668"/>
        </w:tabs>
        <w:spacing w:line="228" w:lineRule="auto"/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 w:eastAsia="en-US" w:bidi="ar-SA"/>
        </w:rPr>
      </w:pPr>
      <w:r w:rsidRPr="0046089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en-US" w:bidi="ar-SA"/>
        </w:rPr>
        <w:t xml:space="preserve">*Наведені розрахунки нормативної грошової оцінки не є остаточними і будуть уточнені </w:t>
      </w:r>
      <w:r w:rsidRPr="0057138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 w:eastAsia="en-US" w:bidi="ar-SA"/>
        </w:rPr>
        <w:t xml:space="preserve"> відповідно до вимог чинного законодавства при оформленні права на земельну ділянку.</w:t>
      </w:r>
    </w:p>
    <w:p w14:paraId="673AA7A7" w14:textId="77777777" w:rsidR="006F6723" w:rsidRDefault="006F6723">
      <w:pPr>
        <w:pStyle w:val="1"/>
        <w:shd w:val="clear" w:color="auto" w:fill="auto"/>
        <w:ind w:firstLine="400"/>
        <w:jc w:val="both"/>
        <w:rPr>
          <w:b/>
          <w:bCs/>
          <w:i w:val="0"/>
          <w:iCs w:val="0"/>
          <w:sz w:val="24"/>
          <w:szCs w:val="24"/>
        </w:rPr>
      </w:pPr>
    </w:p>
    <w:p w14:paraId="269A7C6A" w14:textId="0DD2B371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4AAC11F0" w14:textId="0FB05299" w:rsidR="008634C9" w:rsidRDefault="001627F6" w:rsidP="00FC628C">
      <w:pPr>
        <w:pStyle w:val="1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 р</w:t>
      </w:r>
      <w:r w:rsidR="00233A10">
        <w:rPr>
          <w:i w:val="0"/>
          <w:sz w:val="24"/>
          <w:szCs w:val="24"/>
        </w:rPr>
        <w:t>ішення</w:t>
      </w:r>
      <w:r>
        <w:rPr>
          <w:i w:val="0"/>
          <w:sz w:val="24"/>
          <w:szCs w:val="24"/>
        </w:rPr>
        <w:t>х</w:t>
      </w:r>
      <w:r w:rsidR="008634C9" w:rsidRPr="008634C9">
        <w:rPr>
          <w:i w:val="0"/>
          <w:sz w:val="24"/>
          <w:szCs w:val="24"/>
        </w:rPr>
        <w:t xml:space="preserve"> Київської міської ради від </w:t>
      </w:r>
      <w:r w:rsidR="008634C9">
        <w:rPr>
          <w:i w:val="0"/>
          <w:sz w:val="24"/>
          <w:szCs w:val="24"/>
        </w:rPr>
        <w:t>02.03.2023</w:t>
      </w:r>
      <w:r w:rsidR="008634C9" w:rsidRPr="008634C9">
        <w:rPr>
          <w:i w:val="0"/>
          <w:sz w:val="24"/>
          <w:szCs w:val="24"/>
        </w:rPr>
        <w:t xml:space="preserve"> №</w:t>
      </w:r>
      <w:r w:rsidR="008634C9">
        <w:rPr>
          <w:i w:val="0"/>
          <w:sz w:val="24"/>
          <w:szCs w:val="24"/>
        </w:rPr>
        <w:t>№</w:t>
      </w:r>
      <w:r w:rsidR="008634C9" w:rsidRPr="008634C9">
        <w:rPr>
          <w:i w:val="0"/>
          <w:sz w:val="24"/>
          <w:szCs w:val="24"/>
        </w:rPr>
        <w:t xml:space="preserve"> </w:t>
      </w:r>
      <w:r w:rsidR="008634C9">
        <w:rPr>
          <w:i w:val="0"/>
          <w:sz w:val="24"/>
          <w:szCs w:val="24"/>
        </w:rPr>
        <w:t>6157/6198, 6161/6202,</w:t>
      </w:r>
      <w:r w:rsidR="00FC628C">
        <w:rPr>
          <w:i w:val="0"/>
          <w:sz w:val="24"/>
          <w:szCs w:val="24"/>
        </w:rPr>
        <w:t xml:space="preserve"> 6163/6204</w:t>
      </w:r>
      <w:r w:rsidR="008634C9" w:rsidRPr="008634C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зазначається, що </w:t>
      </w:r>
      <w:r w:rsidR="00D9291F">
        <w:rPr>
          <w:i w:val="0"/>
          <w:sz w:val="24"/>
          <w:szCs w:val="24"/>
        </w:rPr>
        <w:t>вони</w:t>
      </w:r>
      <w:r>
        <w:rPr>
          <w:i w:val="0"/>
          <w:sz w:val="24"/>
          <w:szCs w:val="24"/>
        </w:rPr>
        <w:t xml:space="preserve"> втрачають чинність через дванадцять місяців з моменту їх оприлюднення, у разі якщо протягом цього строку не укладені відповідні договори оренди земельних ділянок. </w:t>
      </w:r>
      <w:r w:rsidR="009D769E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>ак, строк дії цих рішень закінчився</w:t>
      </w:r>
      <w:r w:rsidR="009D769E">
        <w:rPr>
          <w:i w:val="0"/>
          <w:sz w:val="24"/>
          <w:szCs w:val="24"/>
        </w:rPr>
        <w:t xml:space="preserve"> </w:t>
      </w:r>
      <w:r w:rsidR="00D9291F">
        <w:rPr>
          <w:i w:val="0"/>
          <w:sz w:val="24"/>
          <w:szCs w:val="24"/>
        </w:rPr>
        <w:t>24.03.2024</w:t>
      </w:r>
      <w:r>
        <w:rPr>
          <w:i w:val="0"/>
          <w:sz w:val="24"/>
          <w:szCs w:val="24"/>
        </w:rPr>
        <w:t xml:space="preserve">, </w:t>
      </w:r>
      <w:r w:rsidR="00D9291F">
        <w:rPr>
          <w:i w:val="0"/>
          <w:sz w:val="24"/>
          <w:szCs w:val="24"/>
        </w:rPr>
        <w:t>проте</w:t>
      </w:r>
      <w:r>
        <w:rPr>
          <w:i w:val="0"/>
          <w:sz w:val="24"/>
          <w:szCs w:val="24"/>
        </w:rPr>
        <w:t xml:space="preserve"> </w:t>
      </w:r>
      <w:r w:rsidRPr="001627F6">
        <w:rPr>
          <w:i w:val="0"/>
          <w:sz w:val="24"/>
          <w:szCs w:val="24"/>
        </w:rPr>
        <w:t>АКЦІОНЕРНЕ ТОВАРИСТВО «УКРТЕЛЕКОМ»</w:t>
      </w:r>
      <w:r>
        <w:rPr>
          <w:i w:val="0"/>
          <w:sz w:val="24"/>
          <w:szCs w:val="24"/>
        </w:rPr>
        <w:t xml:space="preserve"> не </w:t>
      </w:r>
      <w:r w:rsidR="00D9291F">
        <w:rPr>
          <w:i w:val="0"/>
          <w:sz w:val="24"/>
          <w:szCs w:val="24"/>
        </w:rPr>
        <w:t>реалізувало вчасно</w:t>
      </w:r>
      <w:r>
        <w:rPr>
          <w:i w:val="0"/>
          <w:sz w:val="24"/>
          <w:szCs w:val="24"/>
        </w:rPr>
        <w:t xml:space="preserve"> своє право на </w:t>
      </w:r>
      <w:r w:rsidR="005F6732">
        <w:rPr>
          <w:i w:val="0"/>
          <w:sz w:val="24"/>
          <w:szCs w:val="24"/>
        </w:rPr>
        <w:t>оформлення права користування земельними ділянками шляхом укладення</w:t>
      </w:r>
      <w:r>
        <w:rPr>
          <w:i w:val="0"/>
          <w:sz w:val="24"/>
          <w:szCs w:val="24"/>
        </w:rPr>
        <w:t xml:space="preserve"> договорів оренди земельних ділянок.</w:t>
      </w:r>
    </w:p>
    <w:p w14:paraId="4741993D" w14:textId="48920DF5" w:rsidR="00233A10" w:rsidRDefault="009D769E" w:rsidP="00FC628C">
      <w:pPr>
        <w:pStyle w:val="1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 метою</w:t>
      </w:r>
      <w:r w:rsidR="00233A10">
        <w:rPr>
          <w:i w:val="0"/>
          <w:sz w:val="24"/>
          <w:szCs w:val="24"/>
        </w:rPr>
        <w:t xml:space="preserve"> завершення процедури </w:t>
      </w:r>
      <w:r w:rsidR="00224F8C">
        <w:rPr>
          <w:i w:val="0"/>
          <w:sz w:val="24"/>
          <w:szCs w:val="24"/>
        </w:rPr>
        <w:t>о</w:t>
      </w:r>
      <w:r w:rsidR="00233A10">
        <w:rPr>
          <w:i w:val="0"/>
          <w:sz w:val="24"/>
          <w:szCs w:val="24"/>
        </w:rPr>
        <w:t>формлення права користування земельними ділянками шляхом уклад</w:t>
      </w:r>
      <w:r w:rsidR="005F6732">
        <w:rPr>
          <w:i w:val="0"/>
          <w:sz w:val="24"/>
          <w:szCs w:val="24"/>
        </w:rPr>
        <w:t>е</w:t>
      </w:r>
      <w:r w:rsidR="00233A10">
        <w:rPr>
          <w:i w:val="0"/>
          <w:sz w:val="24"/>
          <w:szCs w:val="24"/>
        </w:rPr>
        <w:t xml:space="preserve">ння договорів оренди </w:t>
      </w:r>
      <w:bookmarkStart w:id="1" w:name="_Hlk174094754"/>
      <w:r>
        <w:rPr>
          <w:i w:val="0"/>
          <w:sz w:val="24"/>
          <w:szCs w:val="24"/>
        </w:rPr>
        <w:t xml:space="preserve">земельних ділянок </w:t>
      </w:r>
      <w:r w:rsidR="00233A10" w:rsidRPr="005959C4">
        <w:rPr>
          <w:i w:val="0"/>
          <w:sz w:val="24"/>
          <w:szCs w:val="24"/>
        </w:rPr>
        <w:t>АКЦІОНЕРН</w:t>
      </w:r>
      <w:r w:rsidR="00233A10">
        <w:rPr>
          <w:i w:val="0"/>
          <w:sz w:val="24"/>
          <w:szCs w:val="24"/>
        </w:rPr>
        <w:t>Е</w:t>
      </w:r>
      <w:r w:rsidR="00233A10" w:rsidRPr="005959C4">
        <w:rPr>
          <w:i w:val="0"/>
          <w:sz w:val="24"/>
          <w:szCs w:val="24"/>
        </w:rPr>
        <w:t xml:space="preserve"> ТОВАРИСТВ</w:t>
      </w:r>
      <w:r w:rsidR="00233A10">
        <w:rPr>
          <w:i w:val="0"/>
          <w:sz w:val="24"/>
          <w:szCs w:val="24"/>
        </w:rPr>
        <w:t>О</w:t>
      </w:r>
      <w:r w:rsidR="00233A10" w:rsidRPr="005959C4">
        <w:rPr>
          <w:i w:val="0"/>
          <w:sz w:val="24"/>
          <w:szCs w:val="24"/>
        </w:rPr>
        <w:t xml:space="preserve"> «УКРТЕЛЕКОМ»</w:t>
      </w:r>
      <w:r w:rsidR="00233A10">
        <w:rPr>
          <w:i w:val="0"/>
          <w:sz w:val="24"/>
          <w:szCs w:val="24"/>
        </w:rPr>
        <w:t xml:space="preserve"> </w:t>
      </w:r>
      <w:bookmarkEnd w:id="1"/>
      <w:r w:rsidR="00233A10">
        <w:rPr>
          <w:i w:val="0"/>
          <w:sz w:val="24"/>
          <w:szCs w:val="24"/>
        </w:rPr>
        <w:t>звернулося із заявою від 13.05.2024 № 619-Вих-80</w:t>
      </w:r>
      <w:r w:rsidR="00233A10">
        <w:rPr>
          <w:i w:val="0"/>
          <w:sz w:val="24"/>
          <w:szCs w:val="24"/>
          <w:lang w:val="en-US"/>
        </w:rPr>
        <w:t>D</w:t>
      </w:r>
      <w:r w:rsidR="00233A10">
        <w:rPr>
          <w:i w:val="0"/>
          <w:sz w:val="24"/>
          <w:szCs w:val="24"/>
        </w:rPr>
        <w:t>711-80</w:t>
      </w:r>
      <w:r w:rsidR="00233A10">
        <w:rPr>
          <w:i w:val="0"/>
          <w:sz w:val="24"/>
          <w:szCs w:val="24"/>
          <w:lang w:val="en-US"/>
        </w:rPr>
        <w:t>D</w:t>
      </w:r>
      <w:r w:rsidR="00233A10">
        <w:rPr>
          <w:i w:val="0"/>
          <w:sz w:val="24"/>
          <w:szCs w:val="24"/>
        </w:rPr>
        <w:t>911-2024 до Київської міської ради</w:t>
      </w:r>
      <w:r w:rsidR="005F6732">
        <w:rPr>
          <w:i w:val="0"/>
          <w:sz w:val="24"/>
          <w:szCs w:val="24"/>
        </w:rPr>
        <w:t xml:space="preserve"> </w:t>
      </w:r>
      <w:r w:rsidR="00233A10">
        <w:rPr>
          <w:i w:val="0"/>
          <w:sz w:val="24"/>
          <w:szCs w:val="24"/>
        </w:rPr>
        <w:t>з проханням подовжити термін дії</w:t>
      </w:r>
      <w:r w:rsidR="00224F8C">
        <w:rPr>
          <w:i w:val="0"/>
          <w:sz w:val="24"/>
          <w:szCs w:val="24"/>
        </w:rPr>
        <w:t xml:space="preserve"> зазначених р</w:t>
      </w:r>
      <w:r w:rsidR="005F6732">
        <w:rPr>
          <w:i w:val="0"/>
          <w:sz w:val="24"/>
          <w:szCs w:val="24"/>
        </w:rPr>
        <w:t>і</w:t>
      </w:r>
      <w:r w:rsidR="00224F8C">
        <w:rPr>
          <w:i w:val="0"/>
          <w:sz w:val="24"/>
          <w:szCs w:val="24"/>
        </w:rPr>
        <w:t>шень</w:t>
      </w:r>
      <w:r w:rsidR="00233A10">
        <w:rPr>
          <w:i w:val="0"/>
          <w:sz w:val="24"/>
          <w:szCs w:val="24"/>
        </w:rPr>
        <w:t>.</w:t>
      </w:r>
    </w:p>
    <w:p w14:paraId="71504626" w14:textId="40690E3C" w:rsidR="005F6732" w:rsidRDefault="3CEF7704" w:rsidP="3CEF7704">
      <w:pPr>
        <w:pStyle w:val="1"/>
        <w:ind w:firstLine="567"/>
        <w:jc w:val="both"/>
        <w:rPr>
          <w:i w:val="0"/>
          <w:iCs w:val="0"/>
          <w:sz w:val="24"/>
          <w:szCs w:val="24"/>
        </w:rPr>
      </w:pPr>
      <w:r w:rsidRPr="3CEF7704">
        <w:rPr>
          <w:i w:val="0"/>
          <w:iCs w:val="0"/>
          <w:sz w:val="24"/>
          <w:szCs w:val="24"/>
        </w:rPr>
        <w:t>Конституційний Суд України у своєму рішенні від 26 березня 2002 року № 6-рп/2002 зазначає, що органи місцевого самоврядування, уповноважені вирішувати не будь-які питання суспільного життя, а питання саме місцевого значення, тобто такі, які пов’язані передусім з життєдіяльністю територіальних громад.</w:t>
      </w:r>
    </w:p>
    <w:p w14:paraId="14453517" w14:textId="65C2D0F1" w:rsidR="005F6732" w:rsidRDefault="00506D9F" w:rsidP="00224F8C">
      <w:pPr>
        <w:pStyle w:val="1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К</w:t>
      </w:r>
      <w:r w:rsidR="005F6732">
        <w:rPr>
          <w:i w:val="0"/>
          <w:sz w:val="24"/>
          <w:szCs w:val="24"/>
        </w:rPr>
        <w:t xml:space="preserve">рім цього, у рішенні Конституційного суду України </w:t>
      </w:r>
      <w:r w:rsidR="00233A10" w:rsidRPr="00233A10">
        <w:rPr>
          <w:i w:val="0"/>
          <w:sz w:val="24"/>
          <w:szCs w:val="24"/>
        </w:rPr>
        <w:t>від 16 квітня 2009 року</w:t>
      </w:r>
      <w:r w:rsidR="009D769E">
        <w:rPr>
          <w:i w:val="0"/>
          <w:sz w:val="24"/>
          <w:szCs w:val="24"/>
        </w:rPr>
        <w:t xml:space="preserve"> </w:t>
      </w:r>
      <w:r w:rsidR="00233A10" w:rsidRPr="00233A10">
        <w:rPr>
          <w:i w:val="0"/>
          <w:sz w:val="24"/>
          <w:szCs w:val="24"/>
        </w:rPr>
        <w:t>№7-</w:t>
      </w:r>
      <w:r w:rsidR="00D9291F">
        <w:rPr>
          <w:i w:val="0"/>
          <w:sz w:val="24"/>
          <w:szCs w:val="24"/>
        </w:rPr>
        <w:t> </w:t>
      </w:r>
      <w:r w:rsidR="00233A10" w:rsidRPr="00233A10">
        <w:rPr>
          <w:i w:val="0"/>
          <w:sz w:val="24"/>
          <w:szCs w:val="24"/>
        </w:rPr>
        <w:t xml:space="preserve">рп/2009 </w:t>
      </w:r>
      <w:r w:rsidR="005F6732">
        <w:rPr>
          <w:i w:val="0"/>
          <w:sz w:val="24"/>
          <w:szCs w:val="24"/>
        </w:rPr>
        <w:t>зазначається, що органи</w:t>
      </w:r>
      <w:r w:rsidR="00233A10" w:rsidRPr="00233A10">
        <w:rPr>
          <w:i w:val="0"/>
          <w:sz w:val="24"/>
          <w:szCs w:val="24"/>
        </w:rPr>
        <w:t xml:space="preserve"> місцевого самоврядування в межах закону мають повне право вільно вирішувати будь-яке питання, яке не вилучене із сфери їхньої компетенції і вирішення якого не доручене жодному іншому органу</w:t>
      </w:r>
      <w:r w:rsidR="005F6732">
        <w:rPr>
          <w:i w:val="0"/>
          <w:sz w:val="24"/>
          <w:szCs w:val="24"/>
        </w:rPr>
        <w:t>.</w:t>
      </w:r>
    </w:p>
    <w:p w14:paraId="42F08ACB" w14:textId="74D68101" w:rsidR="00110271" w:rsidRDefault="005F6732" w:rsidP="00224F8C">
      <w:pPr>
        <w:pStyle w:val="1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</w:t>
      </w:r>
      <w:r w:rsidR="00506D9F">
        <w:rPr>
          <w:i w:val="0"/>
          <w:sz w:val="24"/>
          <w:szCs w:val="24"/>
        </w:rPr>
        <w:t>раховуючи викладене</w:t>
      </w:r>
      <w:r>
        <w:rPr>
          <w:i w:val="0"/>
          <w:sz w:val="24"/>
          <w:szCs w:val="24"/>
        </w:rPr>
        <w:t xml:space="preserve">, </w:t>
      </w:r>
      <w:r w:rsidR="008634C9" w:rsidRPr="008634C9">
        <w:rPr>
          <w:i w:val="0"/>
          <w:sz w:val="24"/>
          <w:szCs w:val="24"/>
        </w:rPr>
        <w:t>Департаментом земельних ресурсів виконавчого органу Київської міської ради (Київської міської державної адміністрації)</w:t>
      </w:r>
      <w:r w:rsidR="005959C4">
        <w:rPr>
          <w:i w:val="0"/>
          <w:sz w:val="24"/>
          <w:szCs w:val="24"/>
        </w:rPr>
        <w:t xml:space="preserve"> </w:t>
      </w:r>
      <w:r w:rsidR="008634C9" w:rsidRPr="008634C9">
        <w:rPr>
          <w:i w:val="0"/>
          <w:sz w:val="24"/>
          <w:szCs w:val="24"/>
        </w:rPr>
        <w:t xml:space="preserve">розроблено проєкт рішення Київської міської ради </w:t>
      </w:r>
      <w:r w:rsidR="00224F8C">
        <w:rPr>
          <w:i w:val="0"/>
          <w:sz w:val="24"/>
          <w:szCs w:val="24"/>
        </w:rPr>
        <w:t>про</w:t>
      </w:r>
      <w:r w:rsidR="008634C9" w:rsidRPr="008634C9">
        <w:rPr>
          <w:i w:val="0"/>
          <w:sz w:val="24"/>
          <w:szCs w:val="24"/>
        </w:rPr>
        <w:t xml:space="preserve"> продовження строку дії рішен</w:t>
      </w:r>
      <w:r w:rsidR="005959C4">
        <w:rPr>
          <w:i w:val="0"/>
          <w:sz w:val="24"/>
          <w:szCs w:val="24"/>
        </w:rPr>
        <w:t>ь</w:t>
      </w:r>
      <w:r w:rsidR="008634C9" w:rsidRPr="008634C9">
        <w:rPr>
          <w:i w:val="0"/>
          <w:sz w:val="24"/>
          <w:szCs w:val="24"/>
        </w:rPr>
        <w:t xml:space="preserve"> Київської міської ради</w:t>
      </w:r>
      <w:r w:rsidR="00224F8C">
        <w:rPr>
          <w:i w:val="0"/>
          <w:sz w:val="24"/>
          <w:szCs w:val="24"/>
        </w:rPr>
        <w:t xml:space="preserve"> </w:t>
      </w:r>
      <w:r w:rsidR="00EB3B14">
        <w:rPr>
          <w:i w:val="0"/>
          <w:sz w:val="24"/>
          <w:szCs w:val="24"/>
        </w:rPr>
        <w:t>від 02.03.</w:t>
      </w:r>
      <w:r w:rsidR="005959C4" w:rsidRPr="005959C4">
        <w:rPr>
          <w:i w:val="0"/>
          <w:sz w:val="24"/>
          <w:szCs w:val="24"/>
        </w:rPr>
        <w:t>2023 року № 6157/6198, № 6161/6202 та № 6163/6204</w:t>
      </w:r>
      <w:r w:rsidR="005959C4">
        <w:rPr>
          <w:i w:val="0"/>
          <w:sz w:val="24"/>
          <w:szCs w:val="24"/>
        </w:rPr>
        <w:t>.</w:t>
      </w:r>
    </w:p>
    <w:p w14:paraId="7818FEAF" w14:textId="77777777" w:rsidR="006F6723" w:rsidRDefault="006F6723" w:rsidP="00000C4D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</w:rPr>
      </w:pPr>
    </w:p>
    <w:p w14:paraId="29CDD28A" w14:textId="6A952E2A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1AF6EA0" w14:textId="77777777" w:rsidR="006F6723" w:rsidRDefault="006F6723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</w:p>
    <w:p w14:paraId="6B6FAC0B" w14:textId="589405CD" w:rsidR="00823CCF" w:rsidRPr="00CF2418" w:rsidRDefault="00FC628C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3CCF" w:rsidRPr="00CF2418">
        <w:rPr>
          <w:sz w:val="24"/>
          <w:szCs w:val="24"/>
        </w:rPr>
        <w:t>. Стан нормативно-правової бази у даній сфері правового регулювання.</w:t>
      </w:r>
    </w:p>
    <w:p w14:paraId="4E3E23C6" w14:textId="3A259590" w:rsidR="00110271" w:rsidRPr="00DA0686" w:rsidRDefault="00233A10" w:rsidP="00110271">
      <w:pPr>
        <w:pStyle w:val="1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Проєкт рішення підготовлено відповідно до</w:t>
      </w:r>
      <w:r w:rsidR="00110271" w:rsidRPr="00110271">
        <w:rPr>
          <w:i w:val="0"/>
          <w:sz w:val="24"/>
          <w:szCs w:val="24"/>
        </w:rPr>
        <w:t xml:space="preserve"> Земельн</w:t>
      </w:r>
      <w:r>
        <w:rPr>
          <w:i w:val="0"/>
          <w:sz w:val="24"/>
          <w:szCs w:val="24"/>
        </w:rPr>
        <w:t>ого</w:t>
      </w:r>
      <w:r w:rsidR="00110271" w:rsidRPr="00110271">
        <w:rPr>
          <w:i w:val="0"/>
          <w:sz w:val="24"/>
          <w:szCs w:val="24"/>
        </w:rPr>
        <w:t xml:space="preserve"> кодекс</w:t>
      </w:r>
      <w:r>
        <w:rPr>
          <w:i w:val="0"/>
          <w:sz w:val="24"/>
          <w:szCs w:val="24"/>
        </w:rPr>
        <w:t>у</w:t>
      </w:r>
      <w:r w:rsidR="00110271" w:rsidRPr="00110271">
        <w:rPr>
          <w:i w:val="0"/>
          <w:sz w:val="24"/>
          <w:szCs w:val="24"/>
        </w:rPr>
        <w:t xml:space="preserve"> України</w:t>
      </w:r>
      <w:r>
        <w:rPr>
          <w:i w:val="0"/>
          <w:sz w:val="24"/>
          <w:szCs w:val="24"/>
        </w:rPr>
        <w:t xml:space="preserve">, </w:t>
      </w:r>
      <w:r w:rsidR="000F047D">
        <w:rPr>
          <w:i w:val="0"/>
          <w:sz w:val="24"/>
          <w:szCs w:val="24"/>
        </w:rPr>
        <w:t>Закону України «Про місцеве самоврядування в Україні» та Закону України «Про адміністративну процедуру».</w:t>
      </w:r>
    </w:p>
    <w:p w14:paraId="40EF41CA" w14:textId="77777777" w:rsidR="00110271" w:rsidRPr="00110271" w:rsidRDefault="00110271" w:rsidP="00110271">
      <w:pPr>
        <w:pStyle w:val="1"/>
        <w:spacing w:line="230" w:lineRule="auto"/>
        <w:ind w:firstLine="426"/>
        <w:jc w:val="both"/>
        <w:rPr>
          <w:i w:val="0"/>
          <w:sz w:val="24"/>
          <w:szCs w:val="24"/>
        </w:rPr>
      </w:pPr>
      <w:r w:rsidRPr="00110271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8EEBFE6" w14:textId="77777777" w:rsidR="00110271" w:rsidRDefault="00110271" w:rsidP="00110271">
      <w:pPr>
        <w:pStyle w:val="1"/>
        <w:spacing w:line="230" w:lineRule="auto"/>
        <w:ind w:firstLine="426"/>
        <w:jc w:val="both"/>
        <w:rPr>
          <w:i w:val="0"/>
          <w:sz w:val="24"/>
          <w:szCs w:val="24"/>
        </w:rPr>
      </w:pPr>
      <w:r w:rsidRPr="00110271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2C014DB" w14:textId="77777777" w:rsidR="007E433B" w:rsidRDefault="00110271" w:rsidP="007E433B">
      <w:pPr>
        <w:pStyle w:val="1"/>
        <w:ind w:firstLine="426"/>
        <w:jc w:val="both"/>
        <w:rPr>
          <w:i w:val="0"/>
          <w:sz w:val="24"/>
          <w:szCs w:val="24"/>
        </w:rPr>
      </w:pPr>
      <w:r w:rsidRPr="00110271">
        <w:rPr>
          <w:i w:val="0"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6E30ED1" w14:textId="77777777" w:rsidR="006F6723" w:rsidRDefault="006F6723" w:rsidP="007E433B">
      <w:pPr>
        <w:pStyle w:val="1"/>
        <w:ind w:firstLine="426"/>
        <w:jc w:val="both"/>
        <w:rPr>
          <w:b/>
          <w:bCs/>
          <w:i w:val="0"/>
          <w:sz w:val="24"/>
          <w:szCs w:val="24"/>
        </w:rPr>
      </w:pPr>
    </w:p>
    <w:p w14:paraId="5B46083C" w14:textId="01CD953E" w:rsidR="00823CCF" w:rsidRPr="00CF2418" w:rsidRDefault="00FC628C" w:rsidP="007E433B">
      <w:pPr>
        <w:pStyle w:val="1"/>
        <w:ind w:firstLine="426"/>
        <w:jc w:val="both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6</w:t>
      </w:r>
      <w:r w:rsidR="00823CCF" w:rsidRPr="00CF2418">
        <w:rPr>
          <w:b/>
          <w:bCs/>
          <w:i w:val="0"/>
          <w:sz w:val="24"/>
          <w:szCs w:val="24"/>
        </w:rPr>
        <w:t>. Фінансово-економічне обґрунтування.</w:t>
      </w:r>
    </w:p>
    <w:p w14:paraId="08AE61B0" w14:textId="0E7626E9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2A4B7A3" w14:textId="77777777" w:rsidR="0014214C" w:rsidRPr="0014214C" w:rsidRDefault="0014214C" w:rsidP="0014214C">
      <w:pPr>
        <w:widowControl/>
        <w:spacing w:line="259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214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складатиме: </w:t>
      </w:r>
    </w:p>
    <w:p w14:paraId="3425E918" w14:textId="5D433C60" w:rsidR="0014214C" w:rsidRPr="0014214C" w:rsidRDefault="0014214C" w:rsidP="0014214C">
      <w:pPr>
        <w:widowControl/>
        <w:spacing w:line="259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земельної ділянки з кадастровим номером 8000000000:75: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205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:0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0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04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- 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129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 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229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грн 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00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коп. ( 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%);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</w:p>
    <w:p w14:paraId="2D6C0161" w14:textId="1CB37F87" w:rsidR="0014214C" w:rsidRPr="0014214C" w:rsidRDefault="0014214C" w:rsidP="0014214C">
      <w:pPr>
        <w:widowControl/>
        <w:spacing w:line="259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</w:pP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земельної ділянки з кадастровим номером 8000000000: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78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019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:0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0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05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- 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39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 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808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грн 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39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коп. ( 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%)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;</w:t>
      </w:r>
    </w:p>
    <w:p w14:paraId="1CDC56B9" w14:textId="32BF3988" w:rsidR="0014214C" w:rsidRPr="0014214C" w:rsidRDefault="0014214C" w:rsidP="0014214C">
      <w:pPr>
        <w:widowControl/>
        <w:spacing w:line="259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земельної ділянки з кадастровим номером 8000000000:7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2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:2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57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:00</w:t>
      </w:r>
      <w:r w:rsidRPr="0014214C">
        <w:rPr>
          <w:rFonts w:ascii="Times New Roman" w:eastAsia="Times New Roman" w:hAnsi="Times New Roman" w:cs="Times New Roman"/>
          <w:b/>
          <w:color w:val="auto"/>
          <w:lang w:val="ru-RU" w:eastAsia="en-US" w:bidi="ar-SA"/>
        </w:rPr>
        <w:t>10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="007E433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–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="007E433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50 881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грн </w:t>
      </w:r>
      <w:r w:rsidR="007E433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40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коп. ( </w:t>
      </w:r>
      <w:r w:rsidRPr="006F672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</w:t>
      </w:r>
      <w:r w:rsidRPr="0014214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%).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5596F3E8" w14:textId="77777777" w:rsidR="006F6723" w:rsidRDefault="006F6723" w:rsidP="00334E6B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34095446" w14:textId="389F629D" w:rsidR="00823CCF" w:rsidRPr="00CF2418" w:rsidRDefault="00FC628C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7</w:t>
      </w:r>
      <w:r w:rsidR="00823CCF" w:rsidRPr="00CF2418">
        <w:rPr>
          <w:b/>
          <w:bCs/>
          <w:i w:val="0"/>
          <w:sz w:val="24"/>
          <w:szCs w:val="24"/>
        </w:rPr>
        <w:t>. Прогноз соціально-економічних та інших наслідків прийняття рішення.</w:t>
      </w:r>
    </w:p>
    <w:p w14:paraId="1154B4CB" w14:textId="3A3570F3" w:rsidR="00D43C78" w:rsidRDefault="005D267A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D267A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</w:t>
      </w:r>
      <w:r>
        <w:rPr>
          <w:i w:val="0"/>
          <w:sz w:val="24"/>
          <w:szCs w:val="24"/>
        </w:rPr>
        <w:t>ими</w:t>
      </w:r>
      <w:r w:rsidRPr="005D267A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ами</w:t>
      </w:r>
      <w:r w:rsidRPr="005D267A">
        <w:rPr>
          <w:i w:val="0"/>
          <w:sz w:val="24"/>
          <w:szCs w:val="24"/>
        </w:rPr>
        <w:t>.</w:t>
      </w:r>
    </w:p>
    <w:p w14:paraId="4F520D53" w14:textId="77777777" w:rsidR="005D267A" w:rsidRPr="00CF2418" w:rsidRDefault="005D267A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8634C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1"/>
      <w:footerReference w:type="default" r:id="rId12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A7B6" w14:textId="77777777" w:rsidR="000B7315" w:rsidRDefault="000B7315">
      <w:r>
        <w:separator/>
      </w:r>
    </w:p>
  </w:endnote>
  <w:endnote w:type="continuationSeparator" w:id="0">
    <w:p w14:paraId="0F45B2C1" w14:textId="77777777" w:rsidR="000B7315" w:rsidRDefault="000B7315">
      <w:r>
        <w:continuationSeparator/>
      </w:r>
    </w:p>
  </w:endnote>
  <w:endnote w:type="continuationNotice" w:id="1">
    <w:p w14:paraId="7974DB31" w14:textId="77777777" w:rsidR="008B2E94" w:rsidRDefault="008B2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20C020E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2D306E" w:rsidR="002D306E" w:rsidRDefault="00800A09" w14:paraId="0E148A5B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8061" w14:textId="77777777" w:rsidR="000B7315" w:rsidRDefault="000B7315"/>
  </w:footnote>
  <w:footnote w:type="continuationSeparator" w:id="0">
    <w:p w14:paraId="407ED82E" w14:textId="77777777" w:rsidR="000B7315" w:rsidRDefault="000B7315"/>
  </w:footnote>
  <w:footnote w:type="continuationNotice" w:id="1">
    <w:p w14:paraId="084C8F13" w14:textId="77777777" w:rsidR="008B2E94" w:rsidRDefault="008B2E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6D2C5522" w14:textId="77777777" w:rsidR="00EB3B14" w:rsidRDefault="00EE567C" w:rsidP="007E433B">
        <w:pPr>
          <w:pStyle w:val="22"/>
          <w:shd w:val="clear" w:color="auto" w:fill="auto"/>
          <w:spacing w:after="0"/>
          <w:ind w:left="2680"/>
          <w:jc w:val="left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</w:t>
        </w:r>
        <w:r w:rsidR="00EB3B14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</w:t>
        </w:r>
      </w:p>
      <w:p w14:paraId="6CB00402" w14:textId="368DD628" w:rsidR="0070323B" w:rsidRPr="00800A09" w:rsidRDefault="00EB3B14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   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634C9">
          <w:rPr>
            <w:i w:val="0"/>
            <w:sz w:val="12"/>
            <w:szCs w:val="12"/>
            <w:lang w:val="ru-RU"/>
          </w:rPr>
          <w:t>ПЗН-69208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8634C9">
          <w:rPr>
            <w:i w:val="0"/>
            <w:sz w:val="12"/>
            <w:szCs w:val="12"/>
            <w:lang w:val="ru-RU"/>
          </w:rPr>
          <w:t>31.07.2024</w:t>
        </w:r>
        <w:r w:rsidR="0070323B" w:rsidRPr="008634C9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>
          <w:rPr>
            <w:i w:val="0"/>
            <w:sz w:val="12"/>
            <w:szCs w:val="12"/>
          </w:rPr>
          <w:t xml:space="preserve">справи </w:t>
        </w:r>
        <w:r w:rsidR="0070323B" w:rsidRPr="00800A09">
          <w:rPr>
            <w:i w:val="0"/>
            <w:sz w:val="12"/>
            <w:szCs w:val="12"/>
          </w:rPr>
          <w:t>679963838</w:t>
        </w:r>
      </w:p>
      <w:p w14:paraId="3796BF5B" w14:textId="1A0BB856" w:rsidR="0070323B" w:rsidRPr="00800A09" w:rsidRDefault="007E433B" w:rsidP="007E433B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70323B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C22FE" w:rsidRPr="003C22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0DFF"/>
    <w:rsid w:val="00055057"/>
    <w:rsid w:val="0007273B"/>
    <w:rsid w:val="00080D65"/>
    <w:rsid w:val="00084CB7"/>
    <w:rsid w:val="000A3021"/>
    <w:rsid w:val="000B148D"/>
    <w:rsid w:val="000B55FA"/>
    <w:rsid w:val="000B7315"/>
    <w:rsid w:val="000C5E99"/>
    <w:rsid w:val="000C7B1F"/>
    <w:rsid w:val="000F047D"/>
    <w:rsid w:val="000F62A9"/>
    <w:rsid w:val="00100101"/>
    <w:rsid w:val="00110271"/>
    <w:rsid w:val="00111F14"/>
    <w:rsid w:val="00113C7E"/>
    <w:rsid w:val="00125B38"/>
    <w:rsid w:val="001304BB"/>
    <w:rsid w:val="0014214C"/>
    <w:rsid w:val="00150269"/>
    <w:rsid w:val="001627F6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E6A4E"/>
    <w:rsid w:val="001F0B41"/>
    <w:rsid w:val="0020085E"/>
    <w:rsid w:val="00212D52"/>
    <w:rsid w:val="0022280E"/>
    <w:rsid w:val="00224F8C"/>
    <w:rsid w:val="00233A10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05F3F"/>
    <w:rsid w:val="0031178B"/>
    <w:rsid w:val="003138B1"/>
    <w:rsid w:val="00314AB6"/>
    <w:rsid w:val="00315201"/>
    <w:rsid w:val="003277CA"/>
    <w:rsid w:val="00332AAB"/>
    <w:rsid w:val="00333098"/>
    <w:rsid w:val="00334A85"/>
    <w:rsid w:val="00334E6B"/>
    <w:rsid w:val="003B24F7"/>
    <w:rsid w:val="003B3924"/>
    <w:rsid w:val="003C22FE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089A"/>
    <w:rsid w:val="00465AC0"/>
    <w:rsid w:val="00482653"/>
    <w:rsid w:val="00487C09"/>
    <w:rsid w:val="0049118C"/>
    <w:rsid w:val="0049406D"/>
    <w:rsid w:val="004A3744"/>
    <w:rsid w:val="004C2A98"/>
    <w:rsid w:val="004C4F8C"/>
    <w:rsid w:val="004D287E"/>
    <w:rsid w:val="004D6C38"/>
    <w:rsid w:val="004E63B6"/>
    <w:rsid w:val="004F35D0"/>
    <w:rsid w:val="0050402A"/>
    <w:rsid w:val="00506D9F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138F"/>
    <w:rsid w:val="0057685E"/>
    <w:rsid w:val="005959C4"/>
    <w:rsid w:val="005D267A"/>
    <w:rsid w:val="005F6732"/>
    <w:rsid w:val="0060534B"/>
    <w:rsid w:val="00606026"/>
    <w:rsid w:val="00612112"/>
    <w:rsid w:val="00622A5B"/>
    <w:rsid w:val="00630FB9"/>
    <w:rsid w:val="00635E1E"/>
    <w:rsid w:val="00637319"/>
    <w:rsid w:val="006547F3"/>
    <w:rsid w:val="00664A3C"/>
    <w:rsid w:val="00670F38"/>
    <w:rsid w:val="006835BE"/>
    <w:rsid w:val="006841B2"/>
    <w:rsid w:val="00693214"/>
    <w:rsid w:val="006941D6"/>
    <w:rsid w:val="006A5E72"/>
    <w:rsid w:val="006B1368"/>
    <w:rsid w:val="006C63B6"/>
    <w:rsid w:val="006F6723"/>
    <w:rsid w:val="0070323B"/>
    <w:rsid w:val="007047E9"/>
    <w:rsid w:val="00711FD8"/>
    <w:rsid w:val="00726D11"/>
    <w:rsid w:val="0076023B"/>
    <w:rsid w:val="00762B42"/>
    <w:rsid w:val="007812BA"/>
    <w:rsid w:val="007A2899"/>
    <w:rsid w:val="007B5D0A"/>
    <w:rsid w:val="007B72F8"/>
    <w:rsid w:val="007B7701"/>
    <w:rsid w:val="007C296C"/>
    <w:rsid w:val="007E433B"/>
    <w:rsid w:val="00800A09"/>
    <w:rsid w:val="00810671"/>
    <w:rsid w:val="00811F23"/>
    <w:rsid w:val="008146F4"/>
    <w:rsid w:val="00823CCF"/>
    <w:rsid w:val="008524A0"/>
    <w:rsid w:val="008634C9"/>
    <w:rsid w:val="00864724"/>
    <w:rsid w:val="00875524"/>
    <w:rsid w:val="008A319F"/>
    <w:rsid w:val="008A338E"/>
    <w:rsid w:val="008A60AD"/>
    <w:rsid w:val="008B2E94"/>
    <w:rsid w:val="008B3AE5"/>
    <w:rsid w:val="00927DF1"/>
    <w:rsid w:val="00932BDC"/>
    <w:rsid w:val="00947406"/>
    <w:rsid w:val="00954BCD"/>
    <w:rsid w:val="00985ACE"/>
    <w:rsid w:val="00986FEF"/>
    <w:rsid w:val="0099634F"/>
    <w:rsid w:val="009A1066"/>
    <w:rsid w:val="009B2BE1"/>
    <w:rsid w:val="009D769E"/>
    <w:rsid w:val="009F0D03"/>
    <w:rsid w:val="00A276F2"/>
    <w:rsid w:val="00A30924"/>
    <w:rsid w:val="00A3157B"/>
    <w:rsid w:val="00A328C1"/>
    <w:rsid w:val="00A636D3"/>
    <w:rsid w:val="00A660AC"/>
    <w:rsid w:val="00AA27B2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46AF7"/>
    <w:rsid w:val="00D76203"/>
    <w:rsid w:val="00D9291F"/>
    <w:rsid w:val="00DA0686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379"/>
    <w:rsid w:val="00E5173D"/>
    <w:rsid w:val="00E751C2"/>
    <w:rsid w:val="00E90218"/>
    <w:rsid w:val="00E94376"/>
    <w:rsid w:val="00E95507"/>
    <w:rsid w:val="00EA0415"/>
    <w:rsid w:val="00EB3B14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A5FF6"/>
    <w:rsid w:val="00FB4511"/>
    <w:rsid w:val="00FC628C"/>
    <w:rsid w:val="00FF143D"/>
    <w:rsid w:val="260775D0"/>
    <w:rsid w:val="3C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5DF29"/>
  <w15:docId w15:val="{E8196D0A-F014-43C1-BF7C-823C169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9DCD-152A-44F8-ADF8-6405D093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 Юр особа оренда дозвіл</vt:lpstr>
    </vt:vector>
  </TitlesOfParts>
  <Manager>Управління землеустрою</Manager>
  <Company>ДЕПАРТАМЕНТ ЗЕМЕЛЬНИХ РЕСУРСІВ</Company>
  <LinksUpToDate>false</LinksUpToDate>
  <CharactersWithSpaces>5120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subject/>
  <dc:creator>Admin</dc:creator>
  <cp:keywords>{"doc_type_id":77,"doc_type_name":"Пояснювальна записка Юр особа оренда дозвіл","doc_type_file":"Юр_особа_оренда_дозвіл.docx"}</cp:keywords>
  <cp:lastModifiedBy>Філіпенко Наталія Анатоліївна</cp:lastModifiedBy>
  <cp:revision>4</cp:revision>
  <cp:lastPrinted>2024-08-16T05:31:00Z</cp:lastPrinted>
  <dcterms:created xsi:type="dcterms:W3CDTF">2024-08-12T08:50:00Z</dcterms:created>
  <dcterms:modified xsi:type="dcterms:W3CDTF">2024-08-16T05:36:00Z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2024-08-09T13:04:14Z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a57aef2e-40c2-4c61-a407-8907147c535d</vt:lpwstr>
  </property>
  <property fmtid="{D5CDD505-2E9C-101B-9397-08002B2CF9AE}" pid="8" name="MSIP_Label_defa4170-0d19-0005-0004-bc88714345d2_ContentBits">
    <vt:lpwstr>0</vt:lpwstr>
  </property>
</Properties>
</file>