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25DC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A25DC0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A25DC0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679704487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679704487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25DC0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A25DC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 xml:space="preserve">№ </w:t>
      </w:r>
      <w:r w:rsidR="004D1119" w:rsidRPr="00A25DC0">
        <w:rPr>
          <w:b/>
          <w:bCs/>
          <w:sz w:val="24"/>
          <w:szCs w:val="24"/>
          <w:lang w:val="uk-UA"/>
        </w:rPr>
        <w:t>ПЗН-55202 від 16.06.2023</w:t>
      </w:r>
    </w:p>
    <w:p w14:paraId="781D03CD" w14:textId="77777777" w:rsidR="004D1119" w:rsidRPr="00A25DC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 xml:space="preserve">до </w:t>
      </w:r>
      <w:proofErr w:type="spellStart"/>
      <w:r w:rsidRPr="00A25DC0">
        <w:rPr>
          <w:sz w:val="24"/>
          <w:szCs w:val="24"/>
          <w:lang w:val="uk-UA"/>
        </w:rPr>
        <w:t>проєкту</w:t>
      </w:r>
      <w:proofErr w:type="spellEnd"/>
      <w:r w:rsidRPr="00A25DC0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2F3772DE" w:rsidR="004D1119" w:rsidRPr="00A25DC0" w:rsidRDefault="004D1119" w:rsidP="00FB6976">
      <w:pPr>
        <w:pStyle w:val="a7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A25DC0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3A53E4" w:rsidRPr="00A25DC0">
        <w:rPr>
          <w:rFonts w:eastAsia="Georgia"/>
          <w:b/>
          <w:i/>
          <w:iCs/>
          <w:sz w:val="24"/>
          <w:szCs w:val="24"/>
          <w:lang w:val="uk-UA"/>
        </w:rPr>
        <w:t xml:space="preserve">передачу </w:t>
      </w:r>
      <w:r w:rsidR="00FB6976" w:rsidRPr="00FB6976">
        <w:rPr>
          <w:rFonts w:eastAsia="Georgia"/>
          <w:b/>
          <w:i/>
          <w:iCs/>
          <w:sz w:val="24"/>
          <w:szCs w:val="24"/>
          <w:lang w:val="uk-UA"/>
        </w:rPr>
        <w:t xml:space="preserve">ТОВАРИСТВУ З ОБМЕЖЕНОЮ ВІДПОВІДАЛЬНІСТЮ «САВВАТС» земельної ділянки в оренду для експлуатації відкритого складу металопрокату із залізничною колією - тупиком № 15 на станції Петра Кривоноса у </w:t>
      </w:r>
      <w:proofErr w:type="spellStart"/>
      <w:r w:rsidR="00FB6976" w:rsidRPr="00FB6976">
        <w:rPr>
          <w:rFonts w:eastAsia="Georgia"/>
          <w:b/>
          <w:i/>
          <w:iCs/>
          <w:sz w:val="24"/>
          <w:szCs w:val="24"/>
          <w:lang w:val="uk-UA"/>
        </w:rPr>
        <w:t>пров</w:t>
      </w:r>
      <w:proofErr w:type="spellEnd"/>
      <w:r w:rsidR="00FB6976" w:rsidRPr="00FB6976">
        <w:rPr>
          <w:rFonts w:eastAsia="Georgia"/>
          <w:b/>
          <w:i/>
          <w:iCs/>
          <w:sz w:val="24"/>
          <w:szCs w:val="24"/>
          <w:lang w:val="uk-UA"/>
        </w:rPr>
        <w:t xml:space="preserve">. Мисливському, </w:t>
      </w:r>
      <w:r w:rsidR="003A53E4" w:rsidRPr="00A25DC0">
        <w:rPr>
          <w:rFonts w:eastAsia="Georgia"/>
          <w:b/>
          <w:i/>
          <w:iCs/>
          <w:sz w:val="24"/>
          <w:szCs w:val="24"/>
          <w:lang w:val="uk-UA"/>
        </w:rPr>
        <w:t>1-б у Голосіївському районі міста Києва</w:t>
      </w:r>
    </w:p>
    <w:p w14:paraId="6B28D54B" w14:textId="77777777" w:rsidR="00F22EE4" w:rsidRPr="009529AF" w:rsidRDefault="00F22EE4" w:rsidP="00F22EE4">
      <w:pPr>
        <w:pStyle w:val="a5"/>
        <w:shd w:val="clear" w:color="auto" w:fill="auto"/>
        <w:spacing w:line="240" w:lineRule="auto"/>
        <w:ind w:left="727"/>
        <w:rPr>
          <w:b/>
          <w:bCs/>
          <w:sz w:val="10"/>
          <w:szCs w:val="10"/>
          <w:lang w:val="uk-UA"/>
        </w:rPr>
      </w:pPr>
    </w:p>
    <w:p w14:paraId="7485161D" w14:textId="21CA5B9A" w:rsidR="004D1119" w:rsidRPr="00A25DC0" w:rsidRDefault="004D1119" w:rsidP="00A25DC0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10C3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A25DC0" w:rsidRDefault="006E10B3" w:rsidP="00A25DC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A25DC0">
              <w:rPr>
                <w:sz w:val="24"/>
                <w:szCs w:val="24"/>
                <w:lang w:val="uk-UA"/>
              </w:rPr>
              <w:t xml:space="preserve"> </w:t>
            </w:r>
            <w:r w:rsidR="004D1119" w:rsidRPr="00A25DC0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25DC0" w:rsidRDefault="004D1119" w:rsidP="00A25DC0">
            <w:pPr>
              <w:pStyle w:val="a7"/>
              <w:shd w:val="clear" w:color="auto" w:fill="auto"/>
              <w:spacing w:after="0"/>
              <w:ind w:firstLine="173"/>
              <w:rPr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«САВВАТС»</w:t>
            </w:r>
          </w:p>
        </w:tc>
      </w:tr>
      <w:tr w:rsidR="004D1119" w:rsidRPr="00A25DC0" w14:paraId="6A6CF238" w14:textId="77777777" w:rsidTr="001D0250">
        <w:trPr>
          <w:cantSplit/>
          <w:trHeight w:hRule="exact" w:val="2805"/>
        </w:trPr>
        <w:tc>
          <w:tcPr>
            <w:tcW w:w="2793" w:type="dxa"/>
            <w:shd w:val="clear" w:color="auto" w:fill="FFFFFF"/>
          </w:tcPr>
          <w:p w14:paraId="4BCEFC34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A25DC0">
              <w:rPr>
                <w:sz w:val="24"/>
                <w:szCs w:val="24"/>
                <w:lang w:val="uk-UA"/>
              </w:rPr>
              <w:t xml:space="preserve"> </w:t>
            </w:r>
            <w:r w:rsidR="004D1119" w:rsidRPr="00A25DC0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A25DC0">
              <w:rPr>
                <w:sz w:val="24"/>
                <w:szCs w:val="24"/>
                <w:lang w:val="uk-UA"/>
              </w:rPr>
              <w:t xml:space="preserve"> </w:t>
            </w:r>
            <w:r w:rsidR="004D1119" w:rsidRPr="00A25DC0">
              <w:rPr>
                <w:sz w:val="24"/>
                <w:szCs w:val="24"/>
                <w:lang w:val="uk-UA"/>
              </w:rPr>
              <w:t>(учасників)</w:t>
            </w:r>
            <w:r w:rsidR="004D1119" w:rsidRPr="00A25DC0">
              <w:rPr>
                <w:sz w:val="18"/>
                <w:szCs w:val="18"/>
                <w:lang w:val="uk-UA"/>
              </w:rPr>
              <w:t>*</w:t>
            </w:r>
          </w:p>
          <w:p w14:paraId="5D0E9667" w14:textId="77777777" w:rsidR="004D1119" w:rsidRPr="00A25DC0" w:rsidRDefault="004D1119" w:rsidP="00A25DC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5526A957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Савченко Анастасія Василівна</w:t>
            </w:r>
          </w:p>
          <w:p w14:paraId="473B546F" w14:textId="1EBD843F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УКРАЇНА, 04123, МІСТО КИЇВ, ВУЛ. МЕЖОВА, 12</w:t>
            </w:r>
          </w:p>
          <w:p w14:paraId="1582E00C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</w:p>
          <w:p w14:paraId="2896D645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Савченко Василь Валерійович</w:t>
            </w:r>
          </w:p>
          <w:p w14:paraId="3DA6ECCF" w14:textId="57AA4470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УКРАЇНА, 03049, МІСТО КИЇВ, ВУЛ. ТОПОЛЕВА, 6, КВАРТИРА 64</w:t>
            </w:r>
          </w:p>
          <w:p w14:paraId="029BA760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</w:p>
          <w:p w14:paraId="61F46074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Савченко Олексій Васильович</w:t>
            </w:r>
          </w:p>
          <w:p w14:paraId="13ACE229" w14:textId="1FBBA50E" w:rsidR="004D1119" w:rsidRPr="00A25DC0" w:rsidRDefault="003A53E4" w:rsidP="00A25DC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УКРАЇНА, 03049, МІСТО КИЇВ, ВУЛ. ТОПОЛЕВА, 6, КВАРТИРА 64</w:t>
            </w:r>
          </w:p>
        </w:tc>
      </w:tr>
      <w:tr w:rsidR="004D1119" w:rsidRPr="00A25DC0" w14:paraId="2EEB9864" w14:textId="77777777" w:rsidTr="003A53E4">
        <w:trPr>
          <w:cantSplit/>
          <w:trHeight w:hRule="exact" w:val="1997"/>
        </w:trPr>
        <w:tc>
          <w:tcPr>
            <w:tcW w:w="2793" w:type="dxa"/>
            <w:shd w:val="clear" w:color="auto" w:fill="FFFFFF"/>
          </w:tcPr>
          <w:p w14:paraId="70953871" w14:textId="77777777" w:rsidR="004D1119" w:rsidRPr="00A25DC0" w:rsidRDefault="006E10B3" w:rsidP="00A25DC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A25DC0">
              <w:rPr>
                <w:sz w:val="24"/>
                <w:szCs w:val="24"/>
                <w:lang w:val="uk-UA"/>
              </w:rPr>
              <w:t xml:space="preserve"> </w:t>
            </w:r>
            <w:r w:rsidR="004D1119" w:rsidRPr="00A25DC0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A25DC0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7777777" w:rsidR="004D1119" w:rsidRPr="00A25DC0" w:rsidRDefault="006E10B3" w:rsidP="00A25DC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A25DC0">
              <w:rPr>
                <w:sz w:val="24"/>
                <w:szCs w:val="24"/>
                <w:lang w:val="uk-UA"/>
              </w:rPr>
              <w:t xml:space="preserve"> </w:t>
            </w:r>
            <w:r w:rsidR="004D1119" w:rsidRPr="00A25DC0">
              <w:rPr>
                <w:sz w:val="24"/>
                <w:szCs w:val="24"/>
                <w:lang w:val="uk-UA"/>
              </w:rPr>
              <w:t>власник (контролер)</w:t>
            </w:r>
            <w:r w:rsidR="004D1119" w:rsidRPr="00A25DC0">
              <w:rPr>
                <w:sz w:val="18"/>
                <w:szCs w:val="18"/>
                <w:lang w:val="uk-UA"/>
              </w:rPr>
              <w:t>*</w:t>
            </w:r>
            <w:r w:rsidR="004A5DBD" w:rsidRPr="00A25DC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242D124F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Савченко Василь Валерійович</w:t>
            </w:r>
          </w:p>
          <w:p w14:paraId="70242A34" w14:textId="1EED838D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УКРАЇНА, 03049, МІСТО КИЇВ, ВУЛ. ТОПОЛЕВА, 6, КВАРТИРА 64</w:t>
            </w:r>
          </w:p>
          <w:p w14:paraId="6F661C40" w14:textId="77777777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</w:p>
          <w:p w14:paraId="3D5FE418" w14:textId="6305C512" w:rsidR="003A53E4" w:rsidRPr="00A25DC0" w:rsidRDefault="003A53E4" w:rsidP="00A25DC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Савченко Олексій Васильович</w:t>
            </w:r>
          </w:p>
          <w:p w14:paraId="395C8F20" w14:textId="0E8DFFA0" w:rsidR="004D1119" w:rsidRPr="00A25DC0" w:rsidRDefault="003A53E4" w:rsidP="00A25DC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uk-UA"/>
              </w:rPr>
            </w:pPr>
            <w:r w:rsidRPr="00A25DC0">
              <w:rPr>
                <w:i/>
                <w:iCs/>
                <w:sz w:val="24"/>
                <w:szCs w:val="24"/>
                <w:lang w:val="uk-UA"/>
              </w:rPr>
              <w:t>УКРАЇНА, 03049, МІСТО КИЇВ, ВУЛ. ТОПОЛЕВА, 6, КВАРТИРА 64</w:t>
            </w:r>
          </w:p>
        </w:tc>
      </w:tr>
      <w:tr w:rsidR="004D1119" w:rsidRPr="00A25DC0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A25DC0" w:rsidRDefault="006E10B3" w:rsidP="00A25DC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A25DC0">
              <w:rPr>
                <w:sz w:val="24"/>
                <w:szCs w:val="24"/>
                <w:lang w:val="uk-UA"/>
              </w:rPr>
              <w:t xml:space="preserve"> </w:t>
            </w:r>
            <w:r w:rsidR="006E106A" w:rsidRPr="00A25DC0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25DC0" w:rsidRDefault="006E106A" w:rsidP="00A25DC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sz w:val="24"/>
                <w:szCs w:val="24"/>
                <w:lang w:val="uk-UA"/>
              </w:rPr>
            </w:pPr>
            <w:r w:rsidRPr="00A25DC0">
              <w:rPr>
                <w:i/>
                <w:sz w:val="24"/>
                <w:szCs w:val="24"/>
                <w:lang w:val="uk-UA"/>
              </w:rPr>
              <w:t>від 07.06.2023 № 679704487</w:t>
            </w:r>
          </w:p>
        </w:tc>
      </w:tr>
    </w:tbl>
    <w:p w14:paraId="60EB3C44" w14:textId="77777777" w:rsidR="004A5DBD" w:rsidRPr="00A25DC0" w:rsidRDefault="004A5DBD" w:rsidP="00A25DC0">
      <w:pPr>
        <w:pStyle w:val="a5"/>
        <w:shd w:val="clear" w:color="auto" w:fill="auto"/>
        <w:spacing w:line="240" w:lineRule="auto"/>
        <w:rPr>
          <w:sz w:val="18"/>
          <w:szCs w:val="18"/>
          <w:lang w:val="uk-UA"/>
        </w:rPr>
      </w:pPr>
      <w:r w:rsidRPr="00A25DC0">
        <w:rPr>
          <w:sz w:val="18"/>
          <w:szCs w:val="18"/>
          <w:lang w:val="uk-UA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3B73DBB6" w14:textId="77777777" w:rsidR="004D1119" w:rsidRPr="009529AF" w:rsidRDefault="004D1119" w:rsidP="00A25DC0">
      <w:pPr>
        <w:pStyle w:val="1"/>
        <w:shd w:val="clear" w:color="auto" w:fill="auto"/>
        <w:tabs>
          <w:tab w:val="left" w:pos="668"/>
        </w:tabs>
        <w:spacing w:after="0"/>
        <w:ind w:left="400" w:firstLine="0"/>
        <w:rPr>
          <w:sz w:val="10"/>
          <w:szCs w:val="10"/>
          <w:lang w:val="uk-UA"/>
        </w:rPr>
      </w:pPr>
    </w:p>
    <w:p w14:paraId="66C0BB3E" w14:textId="77777777" w:rsidR="004D1119" w:rsidRPr="00A25DC0" w:rsidRDefault="004D1119" w:rsidP="00A25DC0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Відомості про земельну ділянку (кадастровий № 8000000000:90:119:0013)</w:t>
      </w:r>
      <w:r w:rsidR="00DC4060" w:rsidRPr="00A25DC0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A25DC0" w14:paraId="2D726FA4" w14:textId="77777777" w:rsidTr="003A53E4">
        <w:trPr>
          <w:trHeight w:val="40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A25DC0" w:rsidRDefault="006E10B3" w:rsidP="00A25DC0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6E106A" w:rsidRPr="00A25DC0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20BF36C" w:rsidR="004D1119" w:rsidRPr="00A25DC0" w:rsidRDefault="004D1119" w:rsidP="00A25DC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25DC0">
              <w:rPr>
                <w:i/>
                <w:iCs/>
                <w:sz w:val="24"/>
                <w:szCs w:val="24"/>
              </w:rPr>
              <w:t xml:space="preserve">м. Київ, р-н Голосіївський, </w:t>
            </w:r>
            <w:proofErr w:type="spellStart"/>
            <w:r w:rsidR="003A53E4" w:rsidRPr="00A25DC0">
              <w:rPr>
                <w:i/>
                <w:iCs/>
                <w:sz w:val="24"/>
                <w:szCs w:val="24"/>
              </w:rPr>
              <w:t>пров</w:t>
            </w:r>
            <w:proofErr w:type="spellEnd"/>
            <w:r w:rsidR="003A53E4" w:rsidRPr="00A25DC0">
              <w:rPr>
                <w:i/>
                <w:iCs/>
                <w:sz w:val="24"/>
                <w:szCs w:val="24"/>
              </w:rPr>
              <w:t>. Мисливський, 1-б</w:t>
            </w:r>
          </w:p>
        </w:tc>
      </w:tr>
      <w:tr w:rsidR="004D1119" w:rsidRPr="00A25DC0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4D1119" w:rsidRPr="00A25DC0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25DC0" w:rsidRDefault="004D1119" w:rsidP="00A25DC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25DC0">
              <w:rPr>
                <w:i/>
                <w:iCs/>
                <w:sz w:val="24"/>
                <w:szCs w:val="24"/>
              </w:rPr>
              <w:t>1,7119 га</w:t>
            </w:r>
          </w:p>
        </w:tc>
      </w:tr>
      <w:tr w:rsidR="004D1119" w:rsidRPr="00F10C3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A25DC0" w:rsidRDefault="006E10B3" w:rsidP="00A25DC0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4D1119" w:rsidRPr="00A25DC0">
              <w:rPr>
                <w:sz w:val="24"/>
                <w:szCs w:val="24"/>
              </w:rPr>
              <w:t xml:space="preserve">Вид та термін </w:t>
            </w:r>
            <w:r w:rsidRPr="00A25DC0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A25DC0" w:rsidRDefault="006E10B3" w:rsidP="00A25DC0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4D1119" w:rsidRPr="00A25DC0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7F1CD9F" w:rsidR="004D1119" w:rsidRPr="00A25DC0" w:rsidRDefault="006E106A" w:rsidP="0020514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25DC0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25DC0">
              <w:rPr>
                <w:i/>
                <w:sz w:val="24"/>
                <w:szCs w:val="24"/>
              </w:rPr>
              <w:t>оренда</w:t>
            </w:r>
            <w:r w:rsidR="003A53E4" w:rsidRPr="00A25DC0">
              <w:rPr>
                <w:i/>
                <w:sz w:val="24"/>
                <w:szCs w:val="24"/>
              </w:rPr>
              <w:t xml:space="preserve"> на </w:t>
            </w:r>
            <w:r w:rsidR="00205144">
              <w:rPr>
                <w:i/>
                <w:sz w:val="24"/>
                <w:szCs w:val="24"/>
              </w:rPr>
              <w:t>10</w:t>
            </w:r>
            <w:r w:rsidR="003A53E4" w:rsidRPr="00A25DC0">
              <w:rPr>
                <w:i/>
                <w:sz w:val="24"/>
                <w:szCs w:val="24"/>
              </w:rPr>
              <w:t xml:space="preserve"> років</w:t>
            </w:r>
            <w:r w:rsidRPr="00A25DC0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10C39" w14:paraId="550A073B" w14:textId="77777777" w:rsidTr="00FB6976">
        <w:trPr>
          <w:trHeight w:val="25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4D1119" w:rsidRPr="00A25DC0">
              <w:rPr>
                <w:sz w:val="24"/>
                <w:szCs w:val="24"/>
              </w:rPr>
              <w:t xml:space="preserve">Цільове </w:t>
            </w:r>
            <w:r w:rsidR="00E93A88" w:rsidRPr="00A25DC0">
              <w:rPr>
                <w:sz w:val="24"/>
                <w:szCs w:val="24"/>
              </w:rPr>
              <w:t>призначення</w:t>
            </w:r>
            <w:r w:rsidR="004D1119" w:rsidRPr="00A25DC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A8A13DF" w:rsidR="00A21758" w:rsidRPr="00A25DC0" w:rsidRDefault="00C675D8" w:rsidP="002D3AB1">
            <w:pPr>
              <w:pStyle w:val="a5"/>
              <w:spacing w:line="240" w:lineRule="auto"/>
              <w:rPr>
                <w:i/>
                <w:iCs/>
                <w:sz w:val="24"/>
                <w:szCs w:val="24"/>
              </w:rPr>
            </w:pPr>
            <w:r w:rsidRPr="00A25DC0">
              <w:rPr>
                <w:i/>
                <w:sz w:val="24"/>
                <w:szCs w:val="24"/>
                <w:highlight w:val="white"/>
              </w:rPr>
              <w:t>11.02</w:t>
            </w:r>
            <w:r w:rsidRPr="00A25DC0">
              <w:rPr>
                <w:rStyle w:val="a9"/>
                <w:sz w:val="24"/>
                <w:szCs w:val="24"/>
              </w:rPr>
              <w:t xml:space="preserve"> </w:t>
            </w:r>
            <w:r w:rsidR="004D1119" w:rsidRPr="00A25DC0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CD0A63" w:rsidRPr="00A25DC0">
              <w:rPr>
                <w:rStyle w:val="a9"/>
                <w:sz w:val="24"/>
                <w:szCs w:val="24"/>
              </w:rPr>
              <w:t xml:space="preserve"> (</w:t>
            </w:r>
            <w:r w:rsidR="00FB6976" w:rsidRPr="00FB6976">
              <w:rPr>
                <w:i/>
                <w:iCs/>
                <w:sz w:val="24"/>
                <w:szCs w:val="24"/>
              </w:rPr>
              <w:t xml:space="preserve">для експлуатації відкритого складу металопрокату із залізничною колією - тупиком № 15 на станції </w:t>
            </w:r>
            <w:r w:rsidR="00FB6976">
              <w:rPr>
                <w:i/>
                <w:iCs/>
                <w:sz w:val="24"/>
                <w:szCs w:val="24"/>
              </w:rPr>
              <w:t>Петра Кривоноса</w:t>
            </w:r>
            <w:r w:rsidR="00CD0A63" w:rsidRPr="00A25DC0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:rsidRPr="00A25DC0" w14:paraId="2E2CBEBD" w14:textId="77777777" w:rsidTr="009529AF">
        <w:trPr>
          <w:trHeight w:val="6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23807219" w:rsidR="00E93A88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E93A88" w:rsidRPr="00A25DC0">
              <w:rPr>
                <w:sz w:val="24"/>
                <w:szCs w:val="24"/>
              </w:rPr>
              <w:t>Нормативно</w:t>
            </w:r>
            <w:r w:rsidR="00F22EE4" w:rsidRPr="00A25DC0">
              <w:rPr>
                <w:sz w:val="24"/>
                <w:szCs w:val="24"/>
              </w:rPr>
              <w:t>-</w:t>
            </w:r>
            <w:r w:rsidR="00E93A88" w:rsidRPr="00A25DC0">
              <w:rPr>
                <w:sz w:val="24"/>
                <w:szCs w:val="24"/>
              </w:rPr>
              <w:t>грошова</w:t>
            </w:r>
            <w:r w:rsidR="00F22EE4" w:rsidRPr="00A25DC0">
              <w:rPr>
                <w:sz w:val="24"/>
                <w:szCs w:val="24"/>
              </w:rPr>
              <w:t xml:space="preserve"> оцінка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D4421F4" w:rsidR="00E93A88" w:rsidRPr="00A25DC0" w:rsidRDefault="00F22EE4" w:rsidP="00A25DC0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A25DC0">
              <w:rPr>
                <w:rStyle w:val="a9"/>
                <w:sz w:val="24"/>
                <w:szCs w:val="24"/>
              </w:rPr>
              <w:t>20 022 021</w:t>
            </w:r>
            <w:r w:rsidR="00E93A88" w:rsidRPr="00A25DC0">
              <w:rPr>
                <w:rStyle w:val="a9"/>
                <w:sz w:val="24"/>
                <w:szCs w:val="24"/>
              </w:rPr>
              <w:t xml:space="preserve"> грн </w:t>
            </w:r>
            <w:r w:rsidRPr="00A25DC0">
              <w:rPr>
                <w:rStyle w:val="a9"/>
                <w:sz w:val="24"/>
                <w:szCs w:val="24"/>
              </w:rPr>
              <w:t>04</w:t>
            </w:r>
            <w:r w:rsidR="00E93A88" w:rsidRPr="00A25DC0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10C3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A25DC0" w:rsidRDefault="006E10B3" w:rsidP="00A25DC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A25DC0">
              <w:rPr>
                <w:sz w:val="24"/>
                <w:szCs w:val="24"/>
              </w:rPr>
              <w:t xml:space="preserve"> </w:t>
            </w:r>
            <w:r w:rsidR="00DC4060" w:rsidRPr="00A25DC0">
              <w:rPr>
                <w:sz w:val="24"/>
                <w:szCs w:val="24"/>
              </w:rPr>
              <w:t>*</w:t>
            </w:r>
            <w:r w:rsidR="00DC4060" w:rsidRPr="00A25DC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A25DC0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A25DC0" w:rsidRDefault="006E10B3" w:rsidP="00A25DC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A25DC0">
              <w:rPr>
                <w:i/>
                <w:sz w:val="24"/>
                <w:szCs w:val="24"/>
              </w:rPr>
              <w:t xml:space="preserve"> </w:t>
            </w:r>
            <w:r w:rsidR="00DC4060" w:rsidRPr="00A25DC0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16B88F36" w14:textId="77777777" w:rsidR="004214F3" w:rsidRPr="009529AF" w:rsidRDefault="004214F3" w:rsidP="00A25DC0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10"/>
          <w:szCs w:val="10"/>
          <w:lang w:val="uk-UA"/>
        </w:rPr>
      </w:pPr>
    </w:p>
    <w:p w14:paraId="64690438" w14:textId="77777777" w:rsidR="004D1119" w:rsidRPr="00A25DC0" w:rsidRDefault="004D1119" w:rsidP="00A25DC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312E8175" w:rsidR="004D1119" w:rsidRPr="00A25DC0" w:rsidRDefault="004D1119" w:rsidP="00A25DC0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>Відповідно до статті 123 Земельн</w:t>
      </w:r>
      <w:r w:rsidR="002376A4">
        <w:rPr>
          <w:sz w:val="24"/>
          <w:szCs w:val="24"/>
          <w:lang w:val="uk-UA"/>
        </w:rPr>
        <w:t>ого кодексу України</w:t>
      </w:r>
      <w:r w:rsidR="0044297A" w:rsidRPr="00A25DC0">
        <w:rPr>
          <w:sz w:val="24"/>
          <w:szCs w:val="24"/>
          <w:lang w:val="uk-UA"/>
        </w:rPr>
        <w:t xml:space="preserve"> </w:t>
      </w:r>
      <w:r w:rsidR="00DC4060" w:rsidRPr="00A25DC0">
        <w:rPr>
          <w:sz w:val="24"/>
          <w:szCs w:val="24"/>
          <w:lang w:val="uk-UA"/>
        </w:rPr>
        <w:t xml:space="preserve">Департаментом земельних ресурсів </w:t>
      </w:r>
      <w:r w:rsidR="00DC4060" w:rsidRPr="00A25DC0">
        <w:rPr>
          <w:sz w:val="24"/>
          <w:szCs w:val="24"/>
          <w:lang w:val="uk-UA"/>
        </w:rPr>
        <w:lastRenderedPageBreak/>
        <w:t xml:space="preserve">виконавчого органу Київської міської ради (Київської міської державної адміністрації) </w:t>
      </w:r>
      <w:r w:rsidR="0044297A" w:rsidRPr="00A25DC0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A25DC0">
        <w:rPr>
          <w:sz w:val="24"/>
          <w:szCs w:val="24"/>
          <w:lang w:val="uk-UA"/>
        </w:rPr>
        <w:t>проє</w:t>
      </w:r>
      <w:r w:rsidR="005639F6" w:rsidRPr="00A25DC0">
        <w:rPr>
          <w:sz w:val="24"/>
          <w:szCs w:val="24"/>
          <w:lang w:val="uk-UA"/>
        </w:rPr>
        <w:t>кт</w:t>
      </w:r>
      <w:proofErr w:type="spellEnd"/>
      <w:r w:rsidR="005639F6" w:rsidRPr="00A25DC0">
        <w:rPr>
          <w:sz w:val="24"/>
          <w:szCs w:val="24"/>
          <w:lang w:val="uk-UA"/>
        </w:rPr>
        <w:t xml:space="preserve"> </w:t>
      </w:r>
      <w:r w:rsidRPr="00A25DC0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без зміни її меж та цільового </w:t>
      </w:r>
      <w:r w:rsidRPr="00A25DC0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9529AF" w:rsidRDefault="005639F6" w:rsidP="00A25DC0">
      <w:pPr>
        <w:pStyle w:val="1"/>
        <w:shd w:val="clear" w:color="auto" w:fill="auto"/>
        <w:spacing w:after="0"/>
        <w:ind w:firstLine="420"/>
        <w:jc w:val="both"/>
        <w:rPr>
          <w:sz w:val="4"/>
          <w:szCs w:val="4"/>
          <w:lang w:val="uk-UA"/>
        </w:rPr>
      </w:pPr>
    </w:p>
    <w:p w14:paraId="103B6ED3" w14:textId="77777777" w:rsidR="004D1119" w:rsidRPr="00A25DC0" w:rsidRDefault="004D1119" w:rsidP="00A25DC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7105D838" w:rsidR="004D1119" w:rsidRPr="00A25DC0" w:rsidRDefault="004D1119" w:rsidP="00A25DC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9529AF" w:rsidRDefault="004D1119" w:rsidP="00A25DC0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8"/>
          <w:szCs w:val="8"/>
          <w:lang w:val="uk-UA"/>
        </w:rPr>
      </w:pPr>
    </w:p>
    <w:p w14:paraId="10FFE8CD" w14:textId="77777777" w:rsidR="004D1119" w:rsidRPr="00A25DC0" w:rsidRDefault="005639F6" w:rsidP="00A25DC0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 xml:space="preserve"> </w:t>
      </w:r>
      <w:r w:rsidR="004D1119" w:rsidRPr="00A25DC0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1D0250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E44" w14:textId="43E9D675" w:rsidR="008F5963" w:rsidRPr="00FE23B3" w:rsidRDefault="00F22EE4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25DC0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FE23B3">
              <w:rPr>
                <w:rFonts w:ascii="Times New Roman" w:eastAsia="Times New Roman" w:hAnsi="Times New Roman" w:cs="Times New Roman"/>
                <w:i/>
              </w:rPr>
              <w:t xml:space="preserve">а частина </w:t>
            </w:r>
            <w:r w:rsidRPr="00A25DC0">
              <w:rPr>
                <w:rFonts w:ascii="Times New Roman" w:eastAsia="Times New Roman" w:hAnsi="Times New Roman" w:cs="Times New Roman"/>
                <w:i/>
              </w:rPr>
              <w:t>єдин</w:t>
            </w:r>
            <w:r w:rsidR="00FE23B3"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A25DC0">
              <w:rPr>
                <w:rFonts w:ascii="Times New Roman" w:eastAsia="Times New Roman" w:hAnsi="Times New Roman" w:cs="Times New Roman"/>
                <w:i/>
              </w:rPr>
              <w:t xml:space="preserve"> майнов</w:t>
            </w:r>
            <w:r w:rsidR="00FE23B3"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A25DC0">
              <w:rPr>
                <w:rFonts w:ascii="Times New Roman" w:eastAsia="Times New Roman" w:hAnsi="Times New Roman" w:cs="Times New Roman"/>
                <w:i/>
              </w:rPr>
              <w:t xml:space="preserve"> комплекс</w:t>
            </w:r>
            <w:r w:rsidR="00FE23B3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A25DC0">
              <w:rPr>
                <w:rFonts w:ascii="Times New Roman" w:eastAsia="Times New Roman" w:hAnsi="Times New Roman" w:cs="Times New Roman"/>
                <w:i/>
              </w:rPr>
              <w:t xml:space="preserve">, який перебуває у власності ТОВАРИСТВА З ОБМЕЖЕНОЮ ВІДПОВІДАЛЬНІСТЮ «САВВАТС», право власності зареєстровано в Державному реєстрі речових прав на нерухоме майно 30.01.2013, номер відомостей про речове право 214795 (інформація з Державного </w:t>
            </w:r>
            <w:r w:rsidRPr="00FE23B3">
              <w:rPr>
                <w:rFonts w:ascii="Times New Roman" w:eastAsia="Times New Roman" w:hAnsi="Times New Roman" w:cs="Times New Roman"/>
                <w:i/>
              </w:rPr>
              <w:t>реєстру речових прав на нерухоме майно від 16.06.2023 № 33587</w:t>
            </w:r>
            <w:r w:rsidR="00993F08" w:rsidRPr="00FE23B3">
              <w:rPr>
                <w:rFonts w:ascii="Times New Roman" w:eastAsia="Times New Roman" w:hAnsi="Times New Roman" w:cs="Times New Roman"/>
                <w:i/>
              </w:rPr>
              <w:t>5377</w:t>
            </w:r>
            <w:r w:rsidRPr="00FE23B3">
              <w:rPr>
                <w:rFonts w:ascii="Times New Roman" w:eastAsia="Times New Roman" w:hAnsi="Times New Roman" w:cs="Times New Roman"/>
                <w:i/>
              </w:rPr>
              <w:t>)</w:t>
            </w:r>
            <w:r w:rsidR="00FE23B3" w:rsidRPr="00FE23B3">
              <w:rPr>
                <w:rFonts w:ascii="Times New Roman" w:eastAsia="Times New Roman" w:hAnsi="Times New Roman" w:cs="Times New Roman"/>
                <w:i/>
              </w:rPr>
              <w:t>, а саме</w:t>
            </w:r>
            <w:r w:rsidR="008F5963" w:rsidRPr="00FE23B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54B3847F" w14:textId="0717A00A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склад цементу (літ. З) загальною площею 178,8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039DA086" w14:textId="6663FB8A" w:rsidR="008F5963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8F5963" w:rsidRPr="00FE23B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лінія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ппр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 (літ. И) загальною площею 320,2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24B5DD30" w14:textId="75F16809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склад № 4 (літ. К) загальною площею 234,0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49311CFA" w14:textId="784BFCC8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склад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метизів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 (літ. Л) загальною площею 427,5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49D6AEA3" w14:textId="77777777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відділ збуту (літ. М) загальною площею 145,6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77411E85" w14:textId="3246905E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вбиральня (літ. Н) загальною площею 17,2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162D8FA7" w14:textId="7F92CCDE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відкритий склад № 2 (літ. О) загальною площею 2450,0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3DCA4C2C" w14:textId="5E3EE2E2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відкритий склад № 1 (літ. П) загальною площею 6300,0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70C5375F" w14:textId="49ADDDF1" w:rsidR="001D0250" w:rsidRPr="00FE23B3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 xml:space="preserve">- відкритий склад № 3 (літ. Р) загальною площею 4900,0 </w:t>
            </w:r>
            <w:proofErr w:type="spellStart"/>
            <w:r w:rsidRPr="00FE23B3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E23B3">
              <w:rPr>
                <w:rFonts w:ascii="Times New Roman" w:eastAsia="Times New Roman" w:hAnsi="Times New Roman" w:cs="Times New Roman"/>
                <w:i/>
              </w:rPr>
              <w:t>. м.</w:t>
            </w:r>
          </w:p>
          <w:p w14:paraId="5B23387B" w14:textId="69ED1475" w:rsidR="004D1119" w:rsidRPr="00A25DC0" w:rsidRDefault="001D0250" w:rsidP="00A25DC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3B3">
              <w:rPr>
                <w:rFonts w:ascii="Times New Roman" w:eastAsia="Times New Roman" w:hAnsi="Times New Roman" w:cs="Times New Roman"/>
                <w:i/>
              </w:rPr>
              <w:t>З</w:t>
            </w:r>
            <w:r w:rsidR="00F22EE4" w:rsidRPr="00FE23B3">
              <w:rPr>
                <w:rFonts w:ascii="Times New Roman" w:eastAsia="Times New Roman" w:hAnsi="Times New Roman" w:cs="Times New Roman"/>
                <w:i/>
              </w:rPr>
              <w:t xml:space="preserve">гідно з листом </w:t>
            </w:r>
            <w:r w:rsidR="00993F08" w:rsidRPr="00FE23B3">
              <w:rPr>
                <w:rFonts w:ascii="Times New Roman" w:eastAsia="Times New Roman" w:hAnsi="Times New Roman" w:cs="Times New Roman"/>
                <w:i/>
              </w:rPr>
              <w:t>ТОВ «САВВАТС» від 05.06.2023 № 293 в межах земельної ділянки розташована залізнична</w:t>
            </w:r>
            <w:r w:rsidR="00993F08" w:rsidRPr="00A25DC0">
              <w:rPr>
                <w:rFonts w:ascii="Times New Roman" w:eastAsia="Times New Roman" w:hAnsi="Times New Roman" w:cs="Times New Roman"/>
                <w:i/>
              </w:rPr>
              <w:t xml:space="preserve"> колія – тупик № 15 на станції Петра Кривоноса, яка знаходиться на балансі товариства. Майно третіх осіб в межах земельної ділянки відсутнє.</w:t>
            </w:r>
          </w:p>
        </w:tc>
      </w:tr>
      <w:tr w:rsidR="004D1119" w:rsidRPr="00A25DC0" w14:paraId="0090C0B3" w14:textId="77777777" w:rsidTr="001D0250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9692F2D" w:rsidR="004D1119" w:rsidRPr="00A25DC0" w:rsidRDefault="005639F6" w:rsidP="00A25DC0">
            <w:pPr>
              <w:jc w:val="both"/>
              <w:rPr>
                <w:bCs/>
                <w:i/>
              </w:rPr>
            </w:pPr>
            <w:r w:rsidRPr="00A25D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F10C39" w14:paraId="6224F51E" w14:textId="77777777" w:rsidTr="001D0250">
        <w:trPr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A25DC0" w:rsidRDefault="006E10B3" w:rsidP="00A25DC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A25DC0" w:rsidRDefault="006E10B3" w:rsidP="00A25DC0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A25DC0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A25DC0" w:rsidRDefault="006E10B3" w:rsidP="00A25DC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i/>
                <w:sz w:val="24"/>
                <w:szCs w:val="24"/>
              </w:rPr>
              <w:t xml:space="preserve"> </w:t>
            </w:r>
            <w:r w:rsidR="0085512A" w:rsidRPr="00A25DC0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7A7" w14:textId="397F5EE3" w:rsidR="009529AF" w:rsidRDefault="009529AF" w:rsidP="00A25DC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5639F6" w:rsidRPr="00A25DC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 w:rsidRPr="00A25DC0">
              <w:rPr>
                <w:i/>
                <w:sz w:val="24"/>
                <w:szCs w:val="24"/>
              </w:rPr>
              <w:t xml:space="preserve"> Києва</w:t>
            </w:r>
            <w:r w:rsidR="005639F6" w:rsidRPr="00A25DC0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 w:rsidRPr="00A25DC0">
              <w:rPr>
                <w:i/>
                <w:sz w:val="24"/>
                <w:szCs w:val="24"/>
              </w:rPr>
              <w:t>.03.</w:t>
            </w:r>
            <w:r w:rsidR="0066447F" w:rsidRPr="00A25DC0">
              <w:rPr>
                <w:i/>
                <w:sz w:val="24"/>
                <w:szCs w:val="24"/>
              </w:rPr>
              <w:t>2002</w:t>
            </w:r>
            <w:r w:rsidR="005639F6" w:rsidRPr="00A25DC0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</w:t>
            </w:r>
            <w:r w:rsidR="00993F08" w:rsidRPr="00A25DC0">
              <w:rPr>
                <w:i/>
                <w:sz w:val="24"/>
                <w:szCs w:val="24"/>
              </w:rPr>
              <w:t xml:space="preserve">частково </w:t>
            </w:r>
            <w:r w:rsidR="005639F6" w:rsidRPr="00A25DC0">
              <w:rPr>
                <w:i/>
                <w:sz w:val="24"/>
                <w:szCs w:val="24"/>
              </w:rPr>
              <w:t xml:space="preserve">до </w:t>
            </w:r>
            <w:r w:rsidR="00993F08" w:rsidRPr="00A25DC0">
              <w:rPr>
                <w:i/>
                <w:sz w:val="24"/>
                <w:szCs w:val="24"/>
              </w:rPr>
              <w:t>комунально-складської території, частково до території залізничного транспорту</w:t>
            </w:r>
            <w:r w:rsidR="00FE23B3" w:rsidRPr="00FE23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FE23B3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="00FE23B3">
              <w:rPr>
                <w:i/>
                <w:sz w:val="24"/>
                <w:szCs w:val="24"/>
                <w:lang w:val="ru-RU"/>
              </w:rPr>
              <w:t>існуючої</w:t>
            </w:r>
            <w:proofErr w:type="spellEnd"/>
            <w:r w:rsidR="00FE23B3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14:paraId="45943794" w14:textId="0AC0D3EE" w:rsidR="004D1119" w:rsidRPr="00A25DC0" w:rsidRDefault="009529AF" w:rsidP="00F10C39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Розпорядженням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Київської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адміністрації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24.03.1997 № 341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земельна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передавалась для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відкриторго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31D01"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z w:val="24"/>
                <w:szCs w:val="24"/>
                <w:lang w:val="ru-RU"/>
              </w:rPr>
              <w:t xml:space="preserve">кладу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металопрокату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залізни</w:t>
            </w:r>
            <w:r w:rsidR="00F10C39">
              <w:rPr>
                <w:i/>
                <w:sz w:val="24"/>
                <w:szCs w:val="24"/>
                <w:lang w:val="ru-RU"/>
              </w:rPr>
              <w:t>ч</w:t>
            </w:r>
            <w:bookmarkStart w:id="0" w:name="_GoBack"/>
            <w:bookmarkEnd w:id="0"/>
            <w:r>
              <w:rPr>
                <w:i/>
                <w:sz w:val="24"/>
                <w:szCs w:val="24"/>
                <w:lang w:val="ru-RU"/>
              </w:rPr>
              <w:t>ною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колією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– тупиком № 15 на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станції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Петра Кривоноса (код виду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– 11.02).</w:t>
            </w:r>
          </w:p>
        </w:tc>
      </w:tr>
      <w:tr w:rsidR="004D1119" w:rsidRPr="00F10C3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A25DC0" w:rsidRDefault="006E10B3" w:rsidP="00A25DC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1E4A53D" w:rsidR="004D1119" w:rsidRPr="00A25DC0" w:rsidRDefault="005639F6" w:rsidP="002376A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</w:t>
            </w:r>
            <w:r w:rsidR="00993F08" w:rsidRPr="00A25DC0">
              <w:rPr>
                <w:bCs/>
                <w:i/>
                <w:sz w:val="24"/>
                <w:szCs w:val="24"/>
              </w:rPr>
              <w:t xml:space="preserve">, право власності зареєстровано у Державному реєстрі речових прав на нерухоме майно 14.11.2022, номер відомостей про речове право 48469741 (інформація з Державного реєстру речових прав від 16.06.2023 </w:t>
            </w:r>
            <w:r w:rsidR="00993F08" w:rsidRPr="00A25DC0">
              <w:rPr>
                <w:bCs/>
                <w:i/>
                <w:sz w:val="24"/>
                <w:szCs w:val="24"/>
              </w:rPr>
              <w:br/>
              <w:t>№ 335876886)</w:t>
            </w:r>
            <w:r w:rsidRPr="00A25DC0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F10C39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A25DC0" w:rsidRDefault="006E10B3" w:rsidP="00A25DC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A25DC0" w:rsidRDefault="006E10B3" w:rsidP="00A25DC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E983E9D" w:rsidR="00DC31BC" w:rsidRPr="00A25DC0" w:rsidRDefault="005639F6" w:rsidP="00A25DC0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F10C39" w14:paraId="3DFF5C39" w14:textId="77777777" w:rsidTr="00A25DC0">
        <w:trPr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A25DC0" w:rsidRDefault="006E10B3" w:rsidP="00A25DC0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A25DC0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1A7" w14:textId="761D2CAC" w:rsidR="00993F08" w:rsidRPr="00A25DC0" w:rsidRDefault="00993F08" w:rsidP="00A25DC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>Земельна ділянка на підставі розпорядження Київської міської державної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адміністрації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376A4">
              <w:rPr>
                <w:rFonts w:ascii="Times New Roman" w:hAnsi="Times New Roman" w:cs="Times New Roman"/>
                <w:i/>
              </w:rPr>
              <w:t>від</w:t>
            </w:r>
            <w:r w:rsidR="002376A4"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24.03.1997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№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341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передана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 xml:space="preserve">в </w:t>
            </w:r>
            <w:r w:rsidRPr="00A25DC0">
              <w:rPr>
                <w:rFonts w:ascii="Times New Roman" w:hAnsi="Times New Roman" w:cs="Times New Roman"/>
                <w:i/>
              </w:rPr>
              <w:lastRenderedPageBreak/>
              <w:t>тимчасове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B6976">
              <w:rPr>
                <w:rFonts w:ascii="Times New Roman" w:hAnsi="Times New Roman" w:cs="Times New Roman"/>
                <w:i/>
              </w:rPr>
              <w:t>довгострокове</w:t>
            </w:r>
            <w:r w:rsidR="00FB6976"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користування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B6976">
              <w:rPr>
                <w:rFonts w:ascii="Times New Roman" w:hAnsi="Times New Roman" w:cs="Times New Roman"/>
                <w:i/>
              </w:rPr>
              <w:t>на</w:t>
            </w:r>
            <w:r w:rsidR="00FB6976"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B6976">
              <w:rPr>
                <w:rFonts w:ascii="Times New Roman" w:hAnsi="Times New Roman" w:cs="Times New Roman"/>
                <w:i/>
              </w:rPr>
              <w:t>умовах</w:t>
            </w:r>
            <w:r w:rsidR="00FB6976"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B6976">
              <w:rPr>
                <w:rFonts w:ascii="Times New Roman" w:hAnsi="Times New Roman" w:cs="Times New Roman"/>
                <w:i/>
              </w:rPr>
              <w:t>оренди</w:t>
            </w:r>
            <w:r w:rsidR="00FB6976"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на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25 років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Малому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приватному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підприємству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5DC0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A25DC0">
              <w:rPr>
                <w:rFonts w:ascii="Times New Roman" w:hAnsi="Times New Roman" w:cs="Times New Roman"/>
                <w:i/>
              </w:rPr>
              <w:t>СавВАТС</w:t>
            </w:r>
            <w:proofErr w:type="spellEnd"/>
            <w:r w:rsidRPr="00A25DC0">
              <w:rPr>
                <w:rFonts w:ascii="Times New Roman" w:hAnsi="Times New Roman" w:cs="Times New Roman"/>
                <w:i/>
              </w:rPr>
              <w:t>»</w:t>
            </w:r>
            <w:r w:rsidRPr="002376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D2717" w:rsidRPr="00A25DC0">
              <w:rPr>
                <w:rFonts w:ascii="Times New Roman" w:hAnsi="Times New Roman" w:cs="Times New Roman"/>
                <w:i/>
              </w:rPr>
              <w:t xml:space="preserve">для експлуатації відкритого складу металопрокату із залізничною колією-тупиком № 15 на </w:t>
            </w:r>
            <w:r w:rsidR="00FB6976" w:rsidRPr="00A25DC0">
              <w:rPr>
                <w:rFonts w:ascii="Times New Roman" w:hAnsi="Times New Roman" w:cs="Times New Roman"/>
                <w:i/>
              </w:rPr>
              <w:t>станції</w:t>
            </w:r>
            <w:r w:rsidR="00BD2717" w:rsidRPr="00A25DC0">
              <w:rPr>
                <w:rFonts w:ascii="Times New Roman" w:hAnsi="Times New Roman" w:cs="Times New Roman"/>
                <w:i/>
              </w:rPr>
              <w:t xml:space="preserve"> Петра Кривоноса.</w:t>
            </w:r>
          </w:p>
          <w:p w14:paraId="0EEA5E6E" w14:textId="638DF371" w:rsidR="00BD2717" w:rsidRPr="00A25DC0" w:rsidRDefault="00BD2717" w:rsidP="00A25DC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>Термін дії договору на право тимчасового користування землею (в тому числі на умовах оренди) від 26.05.1997 № 90-5-00020 закінчився 26.05.2022.</w:t>
            </w:r>
          </w:p>
          <w:p w14:paraId="392F94F1" w14:textId="498C0C60" w:rsidR="00993F08" w:rsidRPr="00A25DC0" w:rsidRDefault="00993F08" w:rsidP="00A25DC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Рішення про поновлення договору </w:t>
            </w:r>
            <w:r w:rsidR="00BD2717" w:rsidRPr="00A25DC0">
              <w:rPr>
                <w:rFonts w:ascii="Times New Roman" w:hAnsi="Times New Roman" w:cs="Times New Roman"/>
                <w:i/>
              </w:rPr>
              <w:t>на право тимчасового користування землею (в тому числі на умовах оренди)</w:t>
            </w:r>
            <w:r w:rsidRPr="00A25DC0">
              <w:rPr>
                <w:rFonts w:ascii="Times New Roman" w:hAnsi="Times New Roman" w:cs="Times New Roman"/>
                <w:i/>
              </w:rPr>
              <w:t xml:space="preserve"> за поданням Департаменту земельних ресурсів виконавчого органу Київської міської ради (Київської міської державної адміністрації) Київська міська рада не приймала.</w:t>
            </w:r>
          </w:p>
          <w:p w14:paraId="7171BAF0" w14:textId="77777777" w:rsidR="00993F08" w:rsidRPr="00A25DC0" w:rsidRDefault="00993F08" w:rsidP="00A25DC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76E2355" w14:textId="35C04ABA" w:rsidR="00993F08" w:rsidRPr="00A25DC0" w:rsidRDefault="00993F08" w:rsidP="00A25DC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</w:t>
            </w:r>
            <w:r w:rsidRPr="00A25DC0">
              <w:rPr>
                <w:rFonts w:ascii="Times New Roman" w:hAnsi="Times New Roman" w:cs="Times New Roman"/>
                <w:i/>
              </w:rPr>
              <w:br/>
              <w:t xml:space="preserve">№ 826/8107/16, від 16.09.2021 у справі № 826/8847/16. </w:t>
            </w:r>
          </w:p>
          <w:p w14:paraId="27FA0786" w14:textId="0D787086" w:rsidR="004D1119" w:rsidRPr="00A25DC0" w:rsidRDefault="00993F08" w:rsidP="00A25DC0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A25DC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A25DC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9529AF" w:rsidRDefault="004D1119" w:rsidP="00A25DC0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0"/>
          <w:szCs w:val="10"/>
          <w:lang w:val="uk-UA"/>
        </w:rPr>
      </w:pPr>
    </w:p>
    <w:p w14:paraId="1285B1B3" w14:textId="77777777" w:rsidR="00BD2717" w:rsidRPr="00A25DC0" w:rsidRDefault="00BD2717" w:rsidP="00A25DC0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after="0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DFEDBAC" w14:textId="12BEC4CB" w:rsidR="00BD2717" w:rsidRPr="00A25DC0" w:rsidRDefault="00BD2717" w:rsidP="00A25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8F5963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>від 20.04.2017 № 241/2463.</w:t>
      </w:r>
    </w:p>
    <w:p w14:paraId="253E1F71" w14:textId="77777777" w:rsidR="00BD2717" w:rsidRPr="00A25DC0" w:rsidRDefault="00BD2717" w:rsidP="00A25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5B48F03D" w14:textId="77777777" w:rsidR="00BD2717" w:rsidRPr="00A25DC0" w:rsidRDefault="00BD2717" w:rsidP="00A25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18354B39" w14:textId="77777777" w:rsidR="00BD2717" w:rsidRPr="009529AF" w:rsidRDefault="00BD2717" w:rsidP="00A25DC0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10"/>
          <w:szCs w:val="10"/>
          <w:lang w:val="uk-UA"/>
        </w:rPr>
      </w:pPr>
    </w:p>
    <w:p w14:paraId="4F93953C" w14:textId="77777777" w:rsidR="00BD2717" w:rsidRPr="00A25DC0" w:rsidRDefault="00BD2717" w:rsidP="00A25DC0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6BD0FC3B" w14:textId="77777777" w:rsidR="00BD2717" w:rsidRPr="00A25DC0" w:rsidRDefault="00BD2717" w:rsidP="00A25DC0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B6950AE" w14:textId="31B0F4E2" w:rsidR="00BD2717" w:rsidRPr="00A25DC0" w:rsidRDefault="00BD2717" w:rsidP="00A25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розмір річної орендної плати складатиме: </w:t>
      </w:r>
      <w:r w:rsidRPr="00A25D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600 660 грн 63 коп. (3 %).</w:t>
      </w:r>
    </w:p>
    <w:p w14:paraId="2248F6C2" w14:textId="77777777" w:rsidR="00BD2717" w:rsidRPr="009529AF" w:rsidRDefault="00BD2717" w:rsidP="00A25D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</w:p>
    <w:p w14:paraId="642F3842" w14:textId="77777777" w:rsidR="00BD2717" w:rsidRPr="00A25DC0" w:rsidRDefault="00BD2717" w:rsidP="00A25DC0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28E1645" w14:textId="77777777" w:rsidR="00BD2717" w:rsidRPr="00A25DC0" w:rsidRDefault="00BD2717" w:rsidP="00A25DC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A25DC0">
        <w:rPr>
          <w:sz w:val="24"/>
          <w:szCs w:val="24"/>
          <w:lang w:val="uk-UA"/>
        </w:rPr>
        <w:t>проєкту</w:t>
      </w:r>
      <w:proofErr w:type="spellEnd"/>
      <w:r w:rsidRPr="00A25DC0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5E52B3F9" w14:textId="5330CF18" w:rsidR="004D1119" w:rsidRPr="009529AF" w:rsidRDefault="004D1119" w:rsidP="00A25DC0">
      <w:pPr>
        <w:pStyle w:val="1"/>
        <w:shd w:val="clear" w:color="auto" w:fill="auto"/>
        <w:spacing w:after="0"/>
        <w:ind w:firstLine="426"/>
        <w:contextualSpacing/>
        <w:jc w:val="both"/>
        <w:rPr>
          <w:sz w:val="10"/>
          <w:szCs w:val="10"/>
          <w:lang w:val="uk-UA"/>
        </w:rPr>
      </w:pPr>
    </w:p>
    <w:p w14:paraId="1ABF69F8" w14:textId="77777777" w:rsidR="004D1119" w:rsidRPr="00A25DC0" w:rsidRDefault="004D1119" w:rsidP="00A25DC0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A25DC0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A25DC0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A25DC0" w:rsidRDefault="00A43048" w:rsidP="00A25DC0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A25DC0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A25DC0" w:rsidRDefault="00256BA4" w:rsidP="00A25DC0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A25DC0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A25DC0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A25DC0" w:rsidRDefault="00C837C6" w:rsidP="00A25DC0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A25DC0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8CC02A7" w14:textId="53408454" w:rsidR="009529AF" w:rsidRPr="00A25DC0" w:rsidRDefault="009529AF" w:rsidP="009529AF">
      <w:pPr>
        <w:spacing w:after="0" w:line="240" w:lineRule="auto"/>
        <w:rPr>
          <w:lang w:val="uk-UA"/>
        </w:rPr>
      </w:pPr>
    </w:p>
    <w:sectPr w:rsidR="009529AF" w:rsidRPr="00A25DC0" w:rsidSect="001D0250">
      <w:headerReference w:type="default" r:id="rId11"/>
      <w:pgSz w:w="12240" w:h="15840"/>
      <w:pgMar w:top="709" w:right="75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5E8B" w14:textId="77777777" w:rsidR="00903D08" w:rsidRDefault="00903D08" w:rsidP="004D1119">
      <w:pPr>
        <w:spacing w:after="0" w:line="240" w:lineRule="auto"/>
      </w:pPr>
      <w:r>
        <w:separator/>
      </w:r>
    </w:p>
  </w:endnote>
  <w:endnote w:type="continuationSeparator" w:id="0">
    <w:p w14:paraId="17F49C06" w14:textId="77777777" w:rsidR="00903D08" w:rsidRDefault="00903D0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86B4" w14:textId="77777777" w:rsidR="00903D08" w:rsidRDefault="00903D08" w:rsidP="004D1119">
      <w:pPr>
        <w:spacing w:after="0" w:line="240" w:lineRule="auto"/>
      </w:pPr>
      <w:r>
        <w:separator/>
      </w:r>
    </w:p>
  </w:footnote>
  <w:footnote w:type="continuationSeparator" w:id="0">
    <w:p w14:paraId="12A72BDF" w14:textId="77777777" w:rsidR="00903D08" w:rsidRDefault="00903D0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DED11A3">
              <wp:simplePos x="0" y="0"/>
              <wp:positionH relativeFrom="column">
                <wp:posOffset>1139190</wp:posOffset>
              </wp:positionH>
              <wp:positionV relativeFrom="paragraph">
                <wp:posOffset>-288290</wp:posOffset>
              </wp:positionV>
              <wp:extent cx="5410200" cy="371475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49314507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5D140DA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BD271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3A53E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ПЗН-55202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16.06.2023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3A53E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679704487</w:t>
                              </w:r>
                            </w:p>
                            <w:p w14:paraId="46F472CC" w14:textId="59F3CFD0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10C39" w:rsidRPr="00F10C3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2.7pt;width:42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49314507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5D140DA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BD271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3A53E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ПЗН-55202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16.06.2023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3A53E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679704487</w:t>
                        </w:r>
                      </w:p>
                      <w:p w14:paraId="46F472CC" w14:textId="59F3CFD0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10C39" w:rsidRPr="00F10C3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0B46F2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C3C63"/>
    <w:rsid w:val="001D0250"/>
    <w:rsid w:val="002050D1"/>
    <w:rsid w:val="00205144"/>
    <w:rsid w:val="00231D01"/>
    <w:rsid w:val="002376A4"/>
    <w:rsid w:val="00256BA4"/>
    <w:rsid w:val="002620EA"/>
    <w:rsid w:val="00297849"/>
    <w:rsid w:val="002C67E9"/>
    <w:rsid w:val="002D3AB1"/>
    <w:rsid w:val="0032082A"/>
    <w:rsid w:val="003756E5"/>
    <w:rsid w:val="003A53E4"/>
    <w:rsid w:val="003C4464"/>
    <w:rsid w:val="004214F3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8F5963"/>
    <w:rsid w:val="00903D08"/>
    <w:rsid w:val="00920863"/>
    <w:rsid w:val="009529AF"/>
    <w:rsid w:val="00993F08"/>
    <w:rsid w:val="009946E5"/>
    <w:rsid w:val="009D6F39"/>
    <w:rsid w:val="009E5D57"/>
    <w:rsid w:val="00A21758"/>
    <w:rsid w:val="00A25DC0"/>
    <w:rsid w:val="00A43048"/>
    <w:rsid w:val="00A62E96"/>
    <w:rsid w:val="00A67BD2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D2717"/>
    <w:rsid w:val="00C074E5"/>
    <w:rsid w:val="00C15B54"/>
    <w:rsid w:val="00C23F8D"/>
    <w:rsid w:val="00C314F1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93A88"/>
    <w:rsid w:val="00EA1843"/>
    <w:rsid w:val="00ED4D52"/>
    <w:rsid w:val="00F10C39"/>
    <w:rsid w:val="00F22EE4"/>
    <w:rsid w:val="00F72F9E"/>
    <w:rsid w:val="00FA7302"/>
    <w:rsid w:val="00FB11FA"/>
    <w:rsid w:val="00FB6976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93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List Paragraph"/>
    <w:basedOn w:val="a"/>
    <w:uiPriority w:val="34"/>
    <w:qFormat/>
    <w:rsid w:val="008F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99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69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55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7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96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5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4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19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153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9D0D-D7A4-446D-AD20-6FC16ABC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7510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Прокопенко Олена Олександрівна</cp:lastModifiedBy>
  <cp:revision>60</cp:revision>
  <cp:lastPrinted>2023-07-07T12:22:00Z</cp:lastPrinted>
  <dcterms:created xsi:type="dcterms:W3CDTF">2020-11-06T14:51:00Z</dcterms:created>
  <dcterms:modified xsi:type="dcterms:W3CDTF">2023-07-07T12:22:00Z</dcterms:modified>
</cp:coreProperties>
</file>