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Default="003774B2" w:rsidP="00EB0E01">
      <w:pPr>
        <w:tabs>
          <w:tab w:val="left" w:pos="8931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433266A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669610154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433266A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669610154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3A0350B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97A458F" w14:textId="77777777" w:rsidR="001B26A0" w:rsidRPr="003774B2" w:rsidRDefault="001B26A0" w:rsidP="001B26A0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Pr="001B26A0">
        <w:rPr>
          <w:b/>
          <w:bCs/>
          <w:sz w:val="24"/>
          <w:szCs w:val="24"/>
        </w:rPr>
        <w:t>ПЗН-2328-11</w:t>
      </w:r>
      <w:r w:rsidRPr="003774B2">
        <w:rPr>
          <w:b/>
          <w:bCs/>
          <w:sz w:val="24"/>
          <w:szCs w:val="24"/>
        </w:rPr>
        <w:t xml:space="preserve"> від </w:t>
      </w:r>
      <w:r w:rsidRPr="001B26A0">
        <w:rPr>
          <w:b/>
          <w:bCs/>
          <w:sz w:val="24"/>
          <w:szCs w:val="24"/>
        </w:rPr>
        <w:t>29.09.2023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190E58CE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AA7FEA" w:rsidRPr="001B72A4">
        <w:rPr>
          <w:b/>
          <w:i/>
          <w:iCs/>
          <w:sz w:val="24"/>
          <w:szCs w:val="24"/>
        </w:rPr>
        <w:t xml:space="preserve">громадянину Морозу  Івану Анатолійовичу дозволу на розроблення </w:t>
      </w:r>
      <w:proofErr w:type="spellStart"/>
      <w:r w:rsidR="00AA7FEA" w:rsidRPr="001B72A4">
        <w:rPr>
          <w:b/>
          <w:i/>
          <w:sz w:val="24"/>
          <w:szCs w:val="24"/>
        </w:rPr>
        <w:t>проєкту</w:t>
      </w:r>
      <w:proofErr w:type="spellEnd"/>
      <w:r w:rsidR="00AA7FEA" w:rsidRPr="001B72A4">
        <w:rPr>
          <w:b/>
          <w:i/>
          <w:sz w:val="24"/>
          <w:szCs w:val="24"/>
        </w:rPr>
        <w:t xml:space="preserve"> землеустрою щодо відведення</w:t>
      </w:r>
      <w:r w:rsidR="00AA7FEA" w:rsidRPr="0070402C">
        <w:rPr>
          <w:b/>
          <w:i/>
          <w:sz w:val="24"/>
          <w:szCs w:val="24"/>
        </w:rPr>
        <w:t xml:space="preserve"> земельної ділянки</w:t>
      </w:r>
      <w:r w:rsidR="00AA7FEA">
        <w:rPr>
          <w:b/>
          <w:i/>
          <w:sz w:val="24"/>
          <w:szCs w:val="24"/>
        </w:rPr>
        <w:t xml:space="preserve"> у власність</w:t>
      </w:r>
      <w:r w:rsidR="00AA7FEA">
        <w:rPr>
          <w:b/>
          <w:i/>
          <w:iCs/>
          <w:sz w:val="24"/>
          <w:szCs w:val="24"/>
        </w:rPr>
        <w:t xml:space="preserve"> </w:t>
      </w:r>
      <w:r w:rsidR="00611380" w:rsidRPr="00611380">
        <w:rPr>
          <w:rStyle w:val="af"/>
          <w:b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1B72A4">
        <w:rPr>
          <w:rStyle w:val="af"/>
          <w:b/>
          <w:sz w:val="24"/>
          <w:szCs w:val="24"/>
        </w:rPr>
        <w:t>у</w:t>
      </w:r>
      <w:r w:rsidR="00AA7FEA" w:rsidRPr="0070402C">
        <w:rPr>
          <w:b/>
          <w:i/>
          <w:iCs/>
          <w:sz w:val="24"/>
          <w:szCs w:val="24"/>
        </w:rPr>
        <w:t xml:space="preserve"> мікрорайон</w:t>
      </w:r>
      <w:r w:rsidR="001B72A4">
        <w:rPr>
          <w:b/>
          <w:i/>
          <w:iCs/>
          <w:sz w:val="24"/>
          <w:szCs w:val="24"/>
        </w:rPr>
        <w:t>і</w:t>
      </w:r>
      <w:r w:rsidR="00AA7FEA" w:rsidRPr="0070402C">
        <w:rPr>
          <w:b/>
          <w:i/>
          <w:iCs/>
          <w:sz w:val="24"/>
          <w:szCs w:val="24"/>
        </w:rPr>
        <w:t xml:space="preserve"> Жуляни 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Мороз 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Іван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Анатолійович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5D6700CA" w:rsidR="007737A7" w:rsidRPr="007737A7" w:rsidRDefault="007737A7" w:rsidP="001E52DA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="001E52DA" w:rsidRPr="001E52DA">
              <w:rPr>
                <w:rFonts w:ascii="Times New Roman" w:hAnsi="Times New Roman" w:cs="Times New Roman"/>
                <w:b/>
                <w:i/>
              </w:rPr>
              <w:t>30.</w:t>
            </w:r>
            <w:r w:rsidR="001E52DA">
              <w:rPr>
                <w:rFonts w:ascii="Times New Roman" w:hAnsi="Times New Roman" w:cs="Times New Roman"/>
                <w:b/>
                <w:i/>
              </w:rPr>
              <w:t>11.2015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="001E52DA">
              <w:rPr>
                <w:rFonts w:ascii="Times New Roman" w:hAnsi="Times New Roman" w:cs="Times New Roman"/>
                <w:b/>
                <w:i/>
              </w:rPr>
              <w:t>К-26016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20276505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5E5602">
        <w:rPr>
          <w:sz w:val="24"/>
          <w:szCs w:val="24"/>
        </w:rPr>
        <w:t>обліковий код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72:528:0327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947" w:type="dxa"/>
        <w:tblLook w:val="04A0" w:firstRow="1" w:lastRow="0" w:firstColumn="1" w:lastColumn="0" w:noHBand="0" w:noVBand="1"/>
      </w:tblPr>
      <w:tblGrid>
        <w:gridCol w:w="3397"/>
        <w:gridCol w:w="6550"/>
      </w:tblGrid>
      <w:tr w:rsidR="00F66E0E" w:rsidRPr="003774B2" w14:paraId="5BC1C692" w14:textId="77777777" w:rsidTr="001B26A0">
        <w:trPr>
          <w:cantSplit/>
          <w:trHeight w:val="305"/>
        </w:trPr>
        <w:tc>
          <w:tcPr>
            <w:tcW w:w="3397" w:type="dxa"/>
          </w:tcPr>
          <w:p w14:paraId="2838E773" w14:textId="4437A49C" w:rsidR="00F66E0E" w:rsidRPr="008A63AB" w:rsidRDefault="00F66E0E" w:rsidP="001B26A0">
            <w:pPr>
              <w:pStyle w:val="a7"/>
              <w:ind w:left="168" w:hanging="142"/>
              <w:rPr>
                <w:b w:val="0"/>
                <w:i/>
                <w:sz w:val="24"/>
                <w:szCs w:val="24"/>
              </w:rPr>
            </w:pPr>
            <w:r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Солом'янський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мікрорайон Жуляни</w:t>
            </w:r>
          </w:p>
        </w:tc>
      </w:tr>
      <w:tr w:rsidR="008A63AB" w:rsidRPr="003774B2" w14:paraId="3937964A" w14:textId="77777777" w:rsidTr="001B26A0">
        <w:trPr>
          <w:cantSplit/>
          <w:trHeight w:val="305"/>
        </w:trPr>
        <w:tc>
          <w:tcPr>
            <w:tcW w:w="3397" w:type="dxa"/>
          </w:tcPr>
          <w:p w14:paraId="33EBB145" w14:textId="04B66389" w:rsidR="008A63AB" w:rsidRPr="008A63AB" w:rsidRDefault="00976A7B" w:rsidP="00976A7B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168"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Орієнтовна п</w:t>
            </w:r>
            <w:r w:rsidR="008A63AB" w:rsidRPr="008A63AB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1B26A0">
        <w:trPr>
          <w:cantSplit/>
          <w:trHeight w:val="305"/>
        </w:trPr>
        <w:tc>
          <w:tcPr>
            <w:tcW w:w="3397" w:type="dxa"/>
          </w:tcPr>
          <w:p w14:paraId="248D66C8" w14:textId="6AD6F34D" w:rsidR="00F66E0E" w:rsidRPr="008A63AB" w:rsidRDefault="008A63AB" w:rsidP="001B26A0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F6E8589" w:rsidR="00F66E0E" w:rsidRPr="009446B9" w:rsidRDefault="00976A7B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3774B2" w14:paraId="52019E31" w14:textId="77777777" w:rsidTr="001B26A0">
        <w:trPr>
          <w:cantSplit/>
          <w:trHeight w:val="305"/>
        </w:trPr>
        <w:tc>
          <w:tcPr>
            <w:tcW w:w="3397" w:type="dxa"/>
          </w:tcPr>
          <w:p w14:paraId="1C52B7B9" w14:textId="07A6B369" w:rsidR="00F66E0E" w:rsidRPr="008A63AB" w:rsidRDefault="001B26A0" w:rsidP="001B26A0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Заявлене цільове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66691A18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="003C7FE3">
        <w:rPr>
          <w:sz w:val="24"/>
          <w:szCs w:val="24"/>
        </w:rPr>
        <w:t xml:space="preserve"> Земельного кодексу України, </w:t>
      </w:r>
      <w:r w:rsidRPr="0070402C">
        <w:rPr>
          <w:sz w:val="24"/>
          <w:szCs w:val="24"/>
        </w:rPr>
        <w:t>Порядку набуття прав на землю із земель комунальної власності у місті Києві, затвердженого рішенням Київської міської ради від 20.04.2017 № 241/2463</w:t>
      </w:r>
      <w:r w:rsidR="00B55B51">
        <w:rPr>
          <w:sz w:val="24"/>
          <w:szCs w:val="24"/>
        </w:rPr>
        <w:t>,</w:t>
      </w:r>
      <w:r w:rsidR="003C7FE3">
        <w:rPr>
          <w:sz w:val="24"/>
          <w:szCs w:val="24"/>
        </w:rPr>
        <w:t xml:space="preserve"> та </w:t>
      </w:r>
      <w:r w:rsidR="003C7FE3" w:rsidRPr="003C7FE3">
        <w:rPr>
          <w:sz w:val="24"/>
          <w:szCs w:val="24"/>
        </w:rPr>
        <w:t>враховуючи постанову Окружного адміністративного суду міста Києва від 25.11.20</w:t>
      </w:r>
      <w:r w:rsidR="001E52DA">
        <w:rPr>
          <w:sz w:val="24"/>
          <w:szCs w:val="24"/>
        </w:rPr>
        <w:t>16</w:t>
      </w:r>
      <w:r w:rsidR="003C7FE3" w:rsidRPr="003C7FE3">
        <w:rPr>
          <w:sz w:val="24"/>
          <w:szCs w:val="24"/>
        </w:rPr>
        <w:t xml:space="preserve"> </w:t>
      </w:r>
      <w:r w:rsidR="00AE5D62">
        <w:rPr>
          <w:sz w:val="24"/>
          <w:szCs w:val="24"/>
        </w:rPr>
        <w:t>у</w:t>
      </w:r>
      <w:r w:rsidR="003C7FE3" w:rsidRPr="003C7FE3">
        <w:rPr>
          <w:sz w:val="24"/>
          <w:szCs w:val="24"/>
        </w:rPr>
        <w:t xml:space="preserve"> справі </w:t>
      </w:r>
      <w:r w:rsidR="003C7FE3">
        <w:rPr>
          <w:sz w:val="24"/>
          <w:szCs w:val="24"/>
        </w:rPr>
        <w:t xml:space="preserve">                               </w:t>
      </w:r>
      <w:r w:rsidR="003C7FE3" w:rsidRPr="003C7FE3">
        <w:rPr>
          <w:sz w:val="24"/>
          <w:szCs w:val="24"/>
        </w:rPr>
        <w:t>№ 826/5737/16</w:t>
      </w:r>
      <w:r w:rsidR="00AE5D62">
        <w:rPr>
          <w:sz w:val="24"/>
          <w:szCs w:val="24"/>
        </w:rPr>
        <w:t>,</w:t>
      </w:r>
      <w:r w:rsidR="00381017">
        <w:rPr>
          <w:sz w:val="24"/>
          <w:szCs w:val="24"/>
        </w:rPr>
        <w:t xml:space="preserve"> </w:t>
      </w:r>
      <w:r w:rsidR="005E5602">
        <w:rPr>
          <w:sz w:val="24"/>
          <w:szCs w:val="24"/>
        </w:rPr>
        <w:t>залишен</w:t>
      </w:r>
      <w:r w:rsidR="00AE5D62">
        <w:rPr>
          <w:sz w:val="24"/>
          <w:szCs w:val="24"/>
        </w:rPr>
        <w:t>у</w:t>
      </w:r>
      <w:r w:rsidR="005E5602">
        <w:rPr>
          <w:sz w:val="24"/>
          <w:szCs w:val="24"/>
        </w:rPr>
        <w:t xml:space="preserve"> без змін</w:t>
      </w:r>
      <w:r w:rsidR="00381017" w:rsidRPr="00381017">
        <w:rPr>
          <w:sz w:val="24"/>
          <w:szCs w:val="24"/>
        </w:rPr>
        <w:t xml:space="preserve"> постанов</w:t>
      </w:r>
      <w:r w:rsidR="005E5602">
        <w:rPr>
          <w:sz w:val="24"/>
          <w:szCs w:val="24"/>
        </w:rPr>
        <w:t>ою</w:t>
      </w:r>
      <w:r w:rsidR="00381017" w:rsidRPr="00381017">
        <w:rPr>
          <w:sz w:val="24"/>
          <w:szCs w:val="24"/>
        </w:rPr>
        <w:t xml:space="preserve"> Шостого апеляційного адміністративного суду міста Києва</w:t>
      </w:r>
      <w:r w:rsidR="00381017">
        <w:rPr>
          <w:sz w:val="24"/>
          <w:szCs w:val="24"/>
        </w:rPr>
        <w:t xml:space="preserve"> </w:t>
      </w:r>
      <w:r w:rsidR="00381017" w:rsidRPr="00381017">
        <w:rPr>
          <w:sz w:val="24"/>
          <w:szCs w:val="24"/>
        </w:rPr>
        <w:t>від 18.12.2018</w:t>
      </w:r>
      <w:r w:rsidRPr="0070402C">
        <w:rPr>
          <w:sz w:val="24"/>
          <w:szCs w:val="24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1B72A4" w:rsidRPr="005A54C9" w14:paraId="7A5DB67B" w14:textId="77777777" w:rsidTr="00EB0E01">
        <w:trPr>
          <w:cantSplit/>
          <w:trHeight w:val="347"/>
        </w:trPr>
        <w:tc>
          <w:tcPr>
            <w:tcW w:w="3369" w:type="dxa"/>
          </w:tcPr>
          <w:p w14:paraId="451B85E6" w14:textId="77777777" w:rsidR="001B72A4" w:rsidRPr="00276F14" w:rsidRDefault="001B72A4" w:rsidP="001B72A4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276F14">
              <w:rPr>
                <w:i/>
                <w:sz w:val="24"/>
                <w:szCs w:val="24"/>
              </w:rPr>
              <w:t>Наявність будівель</w:t>
            </w:r>
            <w:r w:rsidRPr="00276F14">
              <w:rPr>
                <w:sz w:val="24"/>
                <w:szCs w:val="24"/>
              </w:rPr>
              <w:t xml:space="preserve"> </w:t>
            </w:r>
          </w:p>
          <w:p w14:paraId="4BEC97E7" w14:textId="77777777" w:rsidR="001B72A4" w:rsidRPr="00276F14" w:rsidRDefault="001B72A4" w:rsidP="001B72A4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276F14">
              <w:rPr>
                <w:i/>
                <w:sz w:val="24"/>
                <w:szCs w:val="24"/>
              </w:rPr>
              <w:t>і споруд на ділянці:</w:t>
            </w:r>
          </w:p>
        </w:tc>
        <w:tc>
          <w:tcPr>
            <w:tcW w:w="6265" w:type="dxa"/>
          </w:tcPr>
          <w:p w14:paraId="4E8C6078" w14:textId="05F1FCED" w:rsidR="001B72A4" w:rsidRPr="00276F14" w:rsidRDefault="001B72A4" w:rsidP="00C15E3A">
            <w:pPr>
              <w:ind w:right="293"/>
              <w:rPr>
                <w:rFonts w:ascii="Times New Roman" w:hAnsi="Times New Roman" w:cs="Times New Roman"/>
                <w:i/>
              </w:rPr>
            </w:pPr>
            <w:r w:rsidRPr="00276F14">
              <w:rPr>
                <w:rFonts w:ascii="Times New Roman" w:hAnsi="Times New Roman" w:cs="Times New Roman"/>
                <w:i/>
              </w:rPr>
              <w:t>Земельна ділянка вільна від забудови.</w:t>
            </w:r>
          </w:p>
        </w:tc>
      </w:tr>
      <w:tr w:rsidR="001B72A4" w:rsidRPr="005A54C9" w14:paraId="5C69E1AE" w14:textId="77777777" w:rsidTr="00EB0E01">
        <w:trPr>
          <w:cantSplit/>
        </w:trPr>
        <w:tc>
          <w:tcPr>
            <w:tcW w:w="3369" w:type="dxa"/>
          </w:tcPr>
          <w:p w14:paraId="782E732F" w14:textId="77777777" w:rsidR="001B72A4" w:rsidRPr="00276F14" w:rsidRDefault="001B72A4" w:rsidP="00A1254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  <w:lang w:val="en-US"/>
              </w:rPr>
            </w:pPr>
            <w:r w:rsidRPr="00276F14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265" w:type="dxa"/>
          </w:tcPr>
          <w:p w14:paraId="2905BE7F" w14:textId="1441216C" w:rsidR="001B72A4" w:rsidRPr="00276F14" w:rsidRDefault="001B72A4" w:rsidP="001B72A4">
            <w:pPr>
              <w:pStyle w:val="ParagraphStyle"/>
              <w:jc w:val="both"/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</w:pPr>
            <w:r w:rsidRPr="00276F14"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 xml:space="preserve">Відповідно до детального плану території мікрорайону Жуляни, затвердженого рішенням Київської </w:t>
            </w:r>
            <w:r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міської ради від 14.06.</w:t>
            </w:r>
            <w:r w:rsidRPr="00276F14"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2007 № 796/1457 земельна ділянка належить до території житлової садибної забудови.</w:t>
            </w:r>
          </w:p>
        </w:tc>
      </w:tr>
      <w:tr w:rsidR="001B72A4" w:rsidRPr="005A54C9" w14:paraId="377DC274" w14:textId="77777777" w:rsidTr="00EB0E01">
        <w:trPr>
          <w:cantSplit/>
        </w:trPr>
        <w:tc>
          <w:tcPr>
            <w:tcW w:w="3369" w:type="dxa"/>
          </w:tcPr>
          <w:p w14:paraId="6503BE5B" w14:textId="77777777" w:rsidR="001B72A4" w:rsidRPr="00EB0E01" w:rsidRDefault="001B72A4" w:rsidP="00A12547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76F14">
              <w:rPr>
                <w:rFonts w:ascii="Times New Roman" w:hAnsi="Times New Roman" w:cs="Times New Roman"/>
                <w:i/>
              </w:rPr>
              <w:t>Функціональне призначення згідно</w:t>
            </w:r>
            <w:r>
              <w:rPr>
                <w:rFonts w:ascii="Times New Roman" w:hAnsi="Times New Roman" w:cs="Times New Roman"/>
                <w:i/>
              </w:rPr>
              <w:t xml:space="preserve"> з</w:t>
            </w:r>
            <w:r w:rsidRPr="00276F14">
              <w:rPr>
                <w:rFonts w:ascii="Times New Roman" w:hAnsi="Times New Roman" w:cs="Times New Roman"/>
                <w:i/>
              </w:rPr>
              <w:t xml:space="preserve"> Генплан</w:t>
            </w:r>
            <w:r>
              <w:rPr>
                <w:rFonts w:ascii="Times New Roman" w:hAnsi="Times New Roman" w:cs="Times New Roman"/>
                <w:i/>
              </w:rPr>
              <w:t>ом</w:t>
            </w:r>
            <w:r w:rsidRPr="00276F14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6265" w:type="dxa"/>
          </w:tcPr>
          <w:p w14:paraId="5BAA8359" w14:textId="1E2BC252" w:rsidR="001B72A4" w:rsidRPr="00276F14" w:rsidRDefault="001B72A4" w:rsidP="001B72A4">
            <w:pPr>
              <w:pStyle w:val="ParagraphStyle"/>
              <w:jc w:val="both"/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</w:pPr>
            <w:r w:rsidRPr="00276F14"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Згідно з Генеральним планом міста</w:t>
            </w:r>
            <w:r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 xml:space="preserve"> Києва</w:t>
            </w:r>
            <w:r w:rsidRPr="00276F14"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, затвердженим рішенням Київ</w:t>
            </w:r>
            <w:r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ської міської ради від 28.03.</w:t>
            </w:r>
            <w:r w:rsidRPr="00276F14"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2002 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1B72A4" w:rsidRPr="005A54C9" w14:paraId="18B8C2D6" w14:textId="77777777" w:rsidTr="00EB0E01">
        <w:trPr>
          <w:cantSplit/>
          <w:trHeight w:val="533"/>
        </w:trPr>
        <w:tc>
          <w:tcPr>
            <w:tcW w:w="3369" w:type="dxa"/>
          </w:tcPr>
          <w:p w14:paraId="6E999CCD" w14:textId="77777777" w:rsidR="001B72A4" w:rsidRPr="00276F14" w:rsidRDefault="001B72A4" w:rsidP="00A1254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76F14">
              <w:rPr>
                <w:rFonts w:ascii="Times New Roman" w:hAnsi="Times New Roman" w:cs="Times New Roman"/>
                <w:i/>
              </w:rPr>
              <w:t>Правовий режим:</w:t>
            </w:r>
          </w:p>
        </w:tc>
        <w:tc>
          <w:tcPr>
            <w:tcW w:w="6265" w:type="dxa"/>
          </w:tcPr>
          <w:p w14:paraId="16215B50" w14:textId="74508F85" w:rsidR="001B72A4" w:rsidRPr="00276F14" w:rsidRDefault="001B26A0" w:rsidP="00A12547">
            <w:pPr>
              <w:pStyle w:val="ParagraphStyle"/>
              <w:jc w:val="both"/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</w:pPr>
            <w:proofErr w:type="spellStart"/>
            <w:r w:rsidRPr="007F6B74">
              <w:rPr>
                <w:rFonts w:ascii="Times New Roman" w:hAnsi="Times New Roman"/>
                <w:i/>
              </w:rPr>
              <w:t>Земельна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6B74">
              <w:rPr>
                <w:rFonts w:ascii="Times New Roman" w:hAnsi="Times New Roman"/>
                <w:i/>
              </w:rPr>
              <w:t>ділянка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6B74">
              <w:rPr>
                <w:rFonts w:ascii="Times New Roman" w:hAnsi="Times New Roman"/>
                <w:i/>
              </w:rPr>
              <w:t>належить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до земель </w:t>
            </w:r>
            <w:proofErr w:type="spellStart"/>
            <w:r w:rsidRPr="007F6B74">
              <w:rPr>
                <w:rFonts w:ascii="Times New Roman" w:hAnsi="Times New Roman"/>
                <w:i/>
              </w:rPr>
              <w:t>комунальної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6B74">
              <w:rPr>
                <w:rFonts w:ascii="Times New Roman" w:hAnsi="Times New Roman"/>
                <w:i/>
              </w:rPr>
              <w:t>власності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6B74">
              <w:rPr>
                <w:rFonts w:ascii="Times New Roman" w:hAnsi="Times New Roman"/>
                <w:i/>
              </w:rPr>
              <w:t>територіальної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6B74">
              <w:rPr>
                <w:rFonts w:ascii="Times New Roman" w:hAnsi="Times New Roman"/>
                <w:i/>
              </w:rPr>
              <w:t>громади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6B74">
              <w:rPr>
                <w:rFonts w:ascii="Times New Roman" w:hAnsi="Times New Roman"/>
                <w:i/>
              </w:rPr>
              <w:t>міста</w:t>
            </w:r>
            <w:proofErr w:type="spellEnd"/>
            <w:r w:rsidRPr="007F6B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6B74">
              <w:rPr>
                <w:rFonts w:ascii="Times New Roman" w:hAnsi="Times New Roman"/>
                <w:i/>
              </w:rPr>
              <w:t>Києва</w:t>
            </w:r>
            <w:proofErr w:type="spellEnd"/>
            <w:r w:rsidRPr="007F6B74">
              <w:rPr>
                <w:rFonts w:ascii="Times New Roman" w:hAnsi="Times New Roman"/>
                <w:i/>
              </w:rPr>
              <w:t>.</w:t>
            </w:r>
          </w:p>
        </w:tc>
      </w:tr>
      <w:tr w:rsidR="001B72A4" w:rsidRPr="005A54C9" w14:paraId="0F489239" w14:textId="77777777" w:rsidTr="00EB0E01">
        <w:trPr>
          <w:cantSplit/>
        </w:trPr>
        <w:tc>
          <w:tcPr>
            <w:tcW w:w="3369" w:type="dxa"/>
          </w:tcPr>
          <w:p w14:paraId="03175D1E" w14:textId="77777777" w:rsidR="001B72A4" w:rsidRPr="00276F14" w:rsidRDefault="001B72A4" w:rsidP="00A1254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276F14">
              <w:rPr>
                <w:rFonts w:ascii="Times New Roman" w:hAnsi="Times New Roman" w:cs="Times New Roman"/>
                <w:i/>
              </w:rPr>
              <w:lastRenderedPageBreak/>
              <w:t>Розташування в зеленій зоні:</w:t>
            </w:r>
          </w:p>
        </w:tc>
        <w:tc>
          <w:tcPr>
            <w:tcW w:w="6265" w:type="dxa"/>
          </w:tcPr>
          <w:p w14:paraId="325C056A" w14:textId="0F954595" w:rsidR="001B72A4" w:rsidRPr="005E5602" w:rsidRDefault="00EB0E01" w:rsidP="005E56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5602">
              <w:rPr>
                <w:rFonts w:ascii="Times New Roman" w:hAnsi="Times New Roman" w:cs="Times New Roman"/>
                <w:i/>
              </w:rPr>
              <w:t xml:space="preserve">Згідно з переліком зелених зон «Про затвердження показників розвитку зеленої зони м. Києва до 2022 року та концепції формування зелених насаджень в центральній частині міста», затвердженого рішенням Київської міської ради від 08.07.2021 № 1583/1624, зазначена земельна ділянка відноситься до </w:t>
            </w:r>
            <w:r w:rsidR="003C7FE3" w:rsidRPr="005E5602">
              <w:rPr>
                <w:rFonts w:ascii="Times New Roman" w:hAnsi="Times New Roman" w:cs="Times New Roman"/>
                <w:i/>
              </w:rPr>
              <w:t>о</w:t>
            </w:r>
            <w:r w:rsidRPr="005E5602">
              <w:rPr>
                <w:rFonts w:ascii="Times New Roman" w:hAnsi="Times New Roman" w:cs="Times New Roman"/>
                <w:i/>
              </w:rPr>
              <w:t>зеленен</w:t>
            </w:r>
            <w:r w:rsidR="003C7FE3" w:rsidRPr="005E5602">
              <w:rPr>
                <w:rFonts w:ascii="Times New Roman" w:hAnsi="Times New Roman" w:cs="Times New Roman"/>
                <w:i/>
              </w:rPr>
              <w:t>их</w:t>
            </w:r>
            <w:r w:rsidRPr="005E5602">
              <w:rPr>
                <w:rFonts w:ascii="Times New Roman" w:hAnsi="Times New Roman" w:cs="Times New Roman"/>
                <w:i/>
              </w:rPr>
              <w:t xml:space="preserve"> територі</w:t>
            </w:r>
            <w:r w:rsidR="003C7FE3" w:rsidRPr="005E5602">
              <w:rPr>
                <w:rFonts w:ascii="Times New Roman" w:hAnsi="Times New Roman" w:cs="Times New Roman"/>
                <w:i/>
              </w:rPr>
              <w:t>й</w:t>
            </w:r>
            <w:r w:rsidRPr="005E5602">
              <w:rPr>
                <w:rFonts w:ascii="Times New Roman" w:hAnsi="Times New Roman" w:cs="Times New Roman"/>
                <w:i/>
              </w:rPr>
              <w:t xml:space="preserve"> загального користування м. Києва, що відповідають типологічним ознакам та планувальним вимогам (парк відпочинку вздовж р. Нивка біля с. Жуляни, табл. 2, площа 16,2 га).</w:t>
            </w:r>
          </w:p>
        </w:tc>
      </w:tr>
      <w:tr w:rsidR="001B72A4" w:rsidRPr="005A54C9" w14:paraId="1B806B80" w14:textId="77777777" w:rsidTr="005E095F">
        <w:trPr>
          <w:cantSplit/>
          <w:trHeight w:val="11378"/>
        </w:trPr>
        <w:tc>
          <w:tcPr>
            <w:tcW w:w="3369" w:type="dxa"/>
            <w:tcBorders>
              <w:bottom w:val="single" w:sz="4" w:space="0" w:color="auto"/>
            </w:tcBorders>
          </w:tcPr>
          <w:p w14:paraId="6E1E4F99" w14:textId="77777777" w:rsidR="001B72A4" w:rsidRPr="00276F14" w:rsidRDefault="001B72A4" w:rsidP="00A12547">
            <w:pPr>
              <w:rPr>
                <w:rFonts w:ascii="Times New Roman" w:hAnsi="Times New Roman" w:cs="Times New Roman"/>
                <w:i/>
              </w:rPr>
            </w:pPr>
            <w:r w:rsidRPr="00276F14">
              <w:rPr>
                <w:rFonts w:ascii="Times New Roman" w:hAnsi="Times New Roman" w:cs="Times New Roman"/>
                <w:i/>
              </w:rPr>
              <w:t>Інші особливості:</w:t>
            </w: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073724F0" w14:textId="4712334C" w:rsidR="005E5602" w:rsidRPr="00276F14" w:rsidRDefault="005E5602" w:rsidP="005E560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276F14">
              <w:rPr>
                <w:rFonts w:ascii="Times New Roman" w:hAnsi="Times New Roman" w:cs="Times New Roman"/>
                <w:i/>
              </w:rPr>
              <w:t>Відповідно</w:t>
            </w:r>
            <w:r>
              <w:rPr>
                <w:rFonts w:ascii="Times New Roman" w:hAnsi="Times New Roman" w:cs="Times New Roman"/>
                <w:i/>
              </w:rPr>
              <w:t xml:space="preserve"> до </w:t>
            </w:r>
            <w:r w:rsidRPr="00276F14">
              <w:rPr>
                <w:rFonts w:ascii="Times New Roman" w:hAnsi="Times New Roman" w:cs="Times New Roman"/>
                <w:i/>
              </w:rPr>
              <w:t>постанов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276F14">
              <w:rPr>
                <w:rFonts w:ascii="Times New Roman" w:hAnsi="Times New Roman" w:cs="Times New Roman"/>
                <w:i/>
              </w:rPr>
              <w:t xml:space="preserve"> Окружного адміністра</w:t>
            </w:r>
            <w:r>
              <w:rPr>
                <w:rFonts w:ascii="Times New Roman" w:hAnsi="Times New Roman" w:cs="Times New Roman"/>
                <w:i/>
              </w:rPr>
              <w:t>тивного суду міста Києва від 25.11.</w:t>
            </w:r>
            <w:r w:rsidRPr="00276F14">
              <w:rPr>
                <w:rFonts w:ascii="Times New Roman" w:hAnsi="Times New Roman" w:cs="Times New Roman"/>
                <w:i/>
              </w:rPr>
              <w:t>2016</w:t>
            </w:r>
            <w:r>
              <w:rPr>
                <w:rFonts w:ascii="Times New Roman" w:hAnsi="Times New Roman" w:cs="Times New Roman"/>
                <w:i/>
              </w:rPr>
              <w:t xml:space="preserve"> у справі </w:t>
            </w:r>
            <w:r w:rsidRPr="00276F14">
              <w:rPr>
                <w:rFonts w:ascii="Times New Roman" w:hAnsi="Times New Roman" w:cs="Times New Roman"/>
                <w:i/>
              </w:rPr>
              <w:t>826/5737/16</w:t>
            </w:r>
            <w:r>
              <w:rPr>
                <w:rFonts w:ascii="Times New Roman" w:hAnsi="Times New Roman" w:cs="Times New Roman"/>
                <w:i/>
              </w:rPr>
              <w:t>, залишено</w:t>
            </w:r>
            <w:r w:rsidR="00976A7B">
              <w:rPr>
                <w:rFonts w:ascii="Times New Roman" w:hAnsi="Times New Roman" w:cs="Times New Roman"/>
                <w:i/>
              </w:rPr>
              <w:t>ї</w:t>
            </w:r>
            <w:r>
              <w:rPr>
                <w:rFonts w:ascii="Times New Roman" w:hAnsi="Times New Roman" w:cs="Times New Roman"/>
                <w:i/>
              </w:rPr>
              <w:t xml:space="preserve"> без змін</w:t>
            </w:r>
            <w:r w:rsidRPr="00276F14">
              <w:rPr>
                <w:rFonts w:ascii="Times New Roman" w:hAnsi="Times New Roman" w:cs="Times New Roman"/>
                <w:i/>
              </w:rPr>
              <w:t xml:space="preserve"> постанов</w:t>
            </w:r>
            <w:r>
              <w:rPr>
                <w:rFonts w:ascii="Times New Roman" w:hAnsi="Times New Roman" w:cs="Times New Roman"/>
                <w:i/>
              </w:rPr>
              <w:t>ою</w:t>
            </w:r>
            <w:r w:rsidRPr="00276F14">
              <w:rPr>
                <w:rFonts w:ascii="Times New Roman" w:hAnsi="Times New Roman" w:cs="Times New Roman"/>
                <w:i/>
              </w:rPr>
              <w:t xml:space="preserve"> Шостого апеляційного адмі</w:t>
            </w:r>
            <w:r>
              <w:rPr>
                <w:rFonts w:ascii="Times New Roman" w:hAnsi="Times New Roman" w:cs="Times New Roman"/>
                <w:i/>
              </w:rPr>
              <w:t>ністративного суду                      від 18.12.</w:t>
            </w:r>
            <w:r w:rsidRPr="00276F14">
              <w:rPr>
                <w:rFonts w:ascii="Times New Roman" w:hAnsi="Times New Roman" w:cs="Times New Roman"/>
                <w:i/>
              </w:rPr>
              <w:t>2018, зобов'язано Київську міську раду повторно розглянути клопотання Мороза Івана А</w:t>
            </w:r>
            <w:r>
              <w:rPr>
                <w:rFonts w:ascii="Times New Roman" w:hAnsi="Times New Roman" w:cs="Times New Roman"/>
                <w:i/>
              </w:rPr>
              <w:t>натолійовича від 30.11.2015 (зареєстроване 30.11.</w:t>
            </w:r>
            <w:r w:rsidRPr="00276F14">
              <w:rPr>
                <w:rFonts w:ascii="Times New Roman" w:hAnsi="Times New Roman" w:cs="Times New Roman"/>
                <w:i/>
              </w:rPr>
              <w:t xml:space="preserve">2015 </w:t>
            </w:r>
            <w:r>
              <w:rPr>
                <w:rFonts w:ascii="Times New Roman" w:hAnsi="Times New Roman" w:cs="Times New Roman"/>
                <w:i/>
              </w:rPr>
              <w:t xml:space="preserve">за вхідним </w:t>
            </w:r>
            <w:r w:rsidRPr="00276F14">
              <w:rPr>
                <w:rFonts w:ascii="Times New Roman" w:hAnsi="Times New Roman" w:cs="Times New Roman"/>
                <w:i/>
              </w:rPr>
              <w:t>№</w:t>
            </w:r>
            <w:r>
              <w:rPr>
                <w:rFonts w:ascii="Times New Roman" w:hAnsi="Times New Roman" w:cs="Times New Roman"/>
                <w:i/>
              </w:rPr>
              <w:t> 0</w:t>
            </w:r>
            <w:r w:rsidRPr="00276F14">
              <w:rPr>
                <w:rFonts w:ascii="Times New Roman" w:hAnsi="Times New Roman" w:cs="Times New Roman"/>
                <w:i/>
              </w:rPr>
              <w:t>8/М-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Pr="00276F14">
              <w:rPr>
                <w:rFonts w:ascii="Times New Roman" w:hAnsi="Times New Roman" w:cs="Times New Roman"/>
                <w:i/>
              </w:rPr>
              <w:t>1690) з урахуванням висновків даної постанови.</w:t>
            </w:r>
          </w:p>
          <w:p w14:paraId="7AA1DF8F" w14:textId="48D407D6" w:rsidR="00646D36" w:rsidRPr="005E5602" w:rsidRDefault="005E5602" w:rsidP="005E560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Ураховуючи викладене, Департаментом земельних ресурсів виконавчого органу Київської міської ради (Київської міської державної адміністрації)</w:t>
            </w:r>
            <w:r w:rsidR="00646D36" w:rsidRPr="005E5602">
              <w:rPr>
                <w:rFonts w:ascii="Times New Roman" w:hAnsi="Times New Roman" w:cs="Times New Roman"/>
                <w:i/>
              </w:rPr>
              <w:t xml:space="preserve"> підготовлено </w:t>
            </w:r>
            <w:proofErr w:type="spellStart"/>
            <w:r w:rsidR="00646D36" w:rsidRPr="005E5602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="00646D36" w:rsidRPr="005E5602">
              <w:rPr>
                <w:rFonts w:ascii="Times New Roman" w:hAnsi="Times New Roman" w:cs="Times New Roman"/>
                <w:i/>
              </w:rPr>
              <w:t xml:space="preserve"> рішення Київської міської ради «Про надання громадянину Морозу  Івану</w:t>
            </w:r>
            <w:r w:rsidR="00646D36" w:rsidRPr="00D54361">
              <w:rPr>
                <w:rFonts w:ascii="Times New Roman" w:hAnsi="Times New Roman"/>
                <w:i/>
              </w:rPr>
              <w:t xml:space="preserve"> Анатолійовичу дозволу на розроблення </w:t>
            </w:r>
            <w:proofErr w:type="spellStart"/>
            <w:r w:rsidR="00646D36" w:rsidRPr="00D54361">
              <w:rPr>
                <w:rFonts w:ascii="Times New Roman" w:hAnsi="Times New Roman"/>
                <w:i/>
              </w:rPr>
              <w:t>проєкту</w:t>
            </w:r>
            <w:proofErr w:type="spellEnd"/>
            <w:r w:rsidR="00646D36" w:rsidRPr="00D54361">
              <w:rPr>
                <w:rFonts w:ascii="Times New Roman" w:hAnsi="Times New Roman"/>
                <w:i/>
              </w:rPr>
              <w:t xml:space="preserve"> землеустрою щодо відведення земельної ділянки у власність </w:t>
            </w:r>
            <w:r w:rsidR="00646D36" w:rsidRPr="005E5602">
              <w:rPr>
                <w:rFonts w:ascii="Times New Roman" w:hAnsi="Times New Roman"/>
                <w:i/>
              </w:rPr>
              <w:t>для будівництва і обслуговування жилого будинку, господарських будівель і споруд у</w:t>
            </w:r>
            <w:r w:rsidR="00646D36" w:rsidRPr="00D54361">
              <w:rPr>
                <w:rFonts w:ascii="Times New Roman" w:hAnsi="Times New Roman"/>
                <w:i/>
              </w:rPr>
              <w:t xml:space="preserve"> мікрорайоні Жуляни у Солом'янському районі міста Києва»</w:t>
            </w:r>
            <w:r w:rsidR="00646D36">
              <w:rPr>
                <w:rFonts w:ascii="Times New Roman" w:hAnsi="Times New Roman"/>
                <w:i/>
              </w:rPr>
              <w:t>.</w:t>
            </w:r>
          </w:p>
          <w:p w14:paraId="42D20C9E" w14:textId="6794F199" w:rsidR="00646D36" w:rsidRDefault="00D54361" w:rsidP="00646D36">
            <w:pPr>
              <w:pStyle w:val="af3"/>
              <w:spacing w:before="0" w:beforeAutospacing="0" w:after="0" w:afterAutospacing="0"/>
              <w:jc w:val="both"/>
              <w:rPr>
                <w:rFonts w:eastAsia="Courier New"/>
                <w:i/>
                <w:color w:val="000000"/>
                <w:lang w:val="uk-UA" w:eastAsia="uk-UA" w:bidi="uk-UA"/>
              </w:rPr>
            </w:pPr>
            <w:r w:rsidRPr="00D54361">
              <w:rPr>
                <w:rFonts w:eastAsia="Courier New"/>
                <w:i/>
                <w:color w:val="000000"/>
                <w:lang w:val="uk-UA" w:eastAsia="uk-UA" w:bidi="uk-UA"/>
              </w:rPr>
              <w:t xml:space="preserve">   Аналогічний </w:t>
            </w:r>
            <w:proofErr w:type="spellStart"/>
            <w:r w:rsidRPr="00D54361">
              <w:rPr>
                <w:rFonts w:eastAsia="Courier New"/>
                <w:i/>
                <w:color w:val="000000"/>
                <w:lang w:val="uk-UA" w:eastAsia="uk-UA" w:bidi="uk-UA"/>
              </w:rPr>
              <w:t>проєкт</w:t>
            </w:r>
            <w:proofErr w:type="spellEnd"/>
            <w:r w:rsidRPr="00D54361">
              <w:rPr>
                <w:rFonts w:eastAsia="Courier New"/>
                <w:i/>
                <w:color w:val="000000"/>
                <w:lang w:val="uk-UA" w:eastAsia="uk-UA" w:bidi="uk-UA"/>
              </w:rPr>
              <w:t xml:space="preserve"> рішення Київської міської ради </w:t>
            </w:r>
            <w:r w:rsidR="00AD17D8">
              <w:rPr>
                <w:rFonts w:eastAsia="Courier New"/>
                <w:i/>
                <w:color w:val="000000"/>
                <w:lang w:val="uk-UA" w:eastAsia="uk-UA" w:bidi="uk-UA"/>
              </w:rPr>
              <w:t>тричі</w:t>
            </w:r>
            <w:r w:rsidR="00646D36">
              <w:rPr>
                <w:rFonts w:eastAsia="Courier New"/>
                <w:i/>
                <w:color w:val="000000"/>
                <w:lang w:val="uk-UA" w:eastAsia="uk-UA" w:bidi="uk-UA"/>
              </w:rPr>
              <w:t xml:space="preserve"> </w:t>
            </w:r>
            <w:r w:rsidR="00646D36" w:rsidRPr="003C7FE3">
              <w:rPr>
                <w:rFonts w:eastAsia="Courier New"/>
                <w:i/>
                <w:color w:val="000000"/>
                <w:lang w:val="uk-UA" w:eastAsia="uk-UA" w:bidi="uk-UA"/>
              </w:rPr>
              <w:t>розглядався на пленарному засіданн</w:t>
            </w:r>
            <w:r w:rsidR="00646D36">
              <w:rPr>
                <w:rFonts w:eastAsia="Courier New"/>
                <w:i/>
                <w:color w:val="000000"/>
                <w:lang w:val="uk-UA" w:eastAsia="uk-UA" w:bidi="uk-UA"/>
              </w:rPr>
              <w:t>і</w:t>
            </w:r>
            <w:r w:rsidR="00646D36" w:rsidRPr="003C7FE3">
              <w:rPr>
                <w:rFonts w:eastAsia="Courier New"/>
                <w:i/>
                <w:color w:val="000000"/>
                <w:lang w:val="uk-UA" w:eastAsia="uk-UA" w:bidi="uk-UA"/>
              </w:rPr>
              <w:t xml:space="preserve"> Київської міської ради</w:t>
            </w:r>
            <w:r w:rsidR="00646D36">
              <w:rPr>
                <w:rFonts w:eastAsia="Courier New"/>
                <w:i/>
                <w:color w:val="000000"/>
                <w:lang w:val="uk-UA" w:eastAsia="uk-UA" w:bidi="uk-UA"/>
              </w:rPr>
              <w:t xml:space="preserve"> 13.05.2021</w:t>
            </w:r>
            <w:r w:rsidR="00AD17D8">
              <w:rPr>
                <w:rFonts w:eastAsia="Courier New"/>
                <w:i/>
                <w:color w:val="000000"/>
                <w:lang w:val="uk-UA" w:eastAsia="uk-UA" w:bidi="uk-UA"/>
              </w:rPr>
              <w:t>,</w:t>
            </w:r>
            <w:r w:rsidR="00646D36">
              <w:rPr>
                <w:rFonts w:eastAsia="Courier New"/>
                <w:i/>
                <w:color w:val="000000"/>
                <w:lang w:val="uk-UA" w:eastAsia="uk-UA" w:bidi="uk-UA"/>
              </w:rPr>
              <w:t xml:space="preserve"> 21.10.2021 </w:t>
            </w:r>
            <w:r w:rsidR="00AD17D8">
              <w:rPr>
                <w:rFonts w:eastAsia="Courier New"/>
                <w:i/>
                <w:color w:val="000000"/>
                <w:lang w:val="uk-UA" w:eastAsia="uk-UA" w:bidi="uk-UA"/>
              </w:rPr>
              <w:t>(</w:t>
            </w:r>
            <w:r w:rsidR="00646D36">
              <w:rPr>
                <w:rFonts w:eastAsia="Courier New"/>
                <w:i/>
                <w:color w:val="000000"/>
                <w:lang w:val="uk-UA" w:eastAsia="uk-UA" w:bidi="uk-UA"/>
              </w:rPr>
              <w:t>двічі не набрав голосів</w:t>
            </w:r>
            <w:r w:rsidR="00AD17D8">
              <w:rPr>
                <w:rFonts w:eastAsia="Courier New"/>
                <w:i/>
                <w:color w:val="000000"/>
                <w:lang w:val="uk-UA" w:eastAsia="uk-UA" w:bidi="uk-UA"/>
              </w:rPr>
              <w:t>) та 13.07.2023 9прийнято рішення про відхилення)</w:t>
            </w:r>
            <w:r w:rsidR="00646D36">
              <w:rPr>
                <w:rFonts w:eastAsia="Courier New"/>
                <w:i/>
                <w:color w:val="000000"/>
                <w:lang w:val="uk-UA" w:eastAsia="uk-UA" w:bidi="uk-UA"/>
              </w:rPr>
              <w:t>.</w:t>
            </w:r>
          </w:p>
          <w:p w14:paraId="3A4948E0" w14:textId="37948A75" w:rsidR="00C15E3A" w:rsidRPr="005E5602" w:rsidRDefault="00C15E3A" w:rsidP="005E5602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В</w:t>
            </w:r>
            <w:r w:rsidRPr="00C15E3A">
              <w:rPr>
                <w:rFonts w:ascii="Times New Roman" w:hAnsi="Times New Roman" w:cs="Times New Roman"/>
                <w:i/>
              </w:rPr>
              <w:t>ідповідно до статі 129</w:t>
            </w:r>
            <w:r w:rsidRPr="00C15E3A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r w:rsidRPr="00C15E3A">
              <w:rPr>
                <w:rFonts w:ascii="Times New Roman" w:hAnsi="Times New Roman" w:cs="Times New Roman"/>
                <w:i/>
              </w:rPr>
              <w:t xml:space="preserve"> Конституції України та статі 14 Кодексу адміністративного судочинства України </w:t>
            </w:r>
            <w:r>
              <w:rPr>
                <w:rFonts w:ascii="Times New Roman" w:hAnsi="Times New Roman" w:cs="Times New Roman"/>
                <w:i/>
              </w:rPr>
              <w:t xml:space="preserve">рішення суду </w:t>
            </w:r>
            <w:r w:rsidRPr="00C15E3A">
              <w:rPr>
                <w:rFonts w:ascii="Times New Roman" w:hAnsi="Times New Roman" w:cs="Times New Roman"/>
                <w:i/>
              </w:rPr>
              <w:t>є обов’язков</w:t>
            </w:r>
            <w:r>
              <w:rPr>
                <w:rFonts w:ascii="Times New Roman" w:hAnsi="Times New Roman" w:cs="Times New Roman"/>
                <w:i/>
              </w:rPr>
              <w:t>им</w:t>
            </w:r>
            <w:r w:rsidRPr="00C15E3A">
              <w:rPr>
                <w:rFonts w:ascii="Times New Roman" w:hAnsi="Times New Roman" w:cs="Times New Roman"/>
                <w:i/>
              </w:rPr>
              <w:t xml:space="preserve"> до виконання і за невиконання яко</w:t>
            </w:r>
            <w:r>
              <w:rPr>
                <w:rFonts w:ascii="Times New Roman" w:hAnsi="Times New Roman" w:cs="Times New Roman"/>
                <w:i/>
              </w:rPr>
              <w:t>го</w:t>
            </w:r>
            <w:r w:rsidRPr="00C15E3A">
              <w:rPr>
                <w:rFonts w:ascii="Times New Roman" w:hAnsi="Times New Roman" w:cs="Times New Roman"/>
                <w:i/>
              </w:rPr>
              <w:t xml:space="preserve"> законом встановлена відповідальність.</w:t>
            </w:r>
          </w:p>
          <w:p w14:paraId="2F04D6E2" w14:textId="77777777" w:rsidR="00F87E6B" w:rsidRDefault="00F87E6B" w:rsidP="00F87E6B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D54361">
              <w:rPr>
                <w:rFonts w:ascii="Times New Roman" w:hAnsi="Times New Roman" w:cs="Times New Roman"/>
                <w:i/>
              </w:rPr>
              <w:t xml:space="preserve">Статтею 382 Кримінального кодексу України передбачено кримінальну відповідальність </w:t>
            </w:r>
            <w:r>
              <w:rPr>
                <w:rFonts w:ascii="Times New Roman" w:hAnsi="Times New Roman" w:cs="Times New Roman"/>
                <w:i/>
              </w:rPr>
              <w:t>за невиконання судового рішення.</w:t>
            </w:r>
          </w:p>
          <w:p w14:paraId="287D9B62" w14:textId="77777777" w:rsidR="00C15E3A" w:rsidRDefault="00C15E3A" w:rsidP="00C15E3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Pr="00276F14">
              <w:rPr>
                <w:rFonts w:ascii="Times New Roman" w:hAnsi="Times New Roman" w:cs="Times New Roman"/>
                <w:i/>
              </w:rPr>
              <w:t xml:space="preserve">Згідно з даними міського земельного кадастру, зазначена земельна ділянка є надлишками основної земельної ділянки на вул. Луговій, 61. </w:t>
            </w:r>
          </w:p>
          <w:p w14:paraId="0ACCE7DD" w14:textId="4ED4DDDA" w:rsidR="00C15E3A" w:rsidRPr="005E5602" w:rsidRDefault="00C15E3A" w:rsidP="00C15E3A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276F14">
              <w:rPr>
                <w:rFonts w:ascii="Times New Roman" w:hAnsi="Times New Roman" w:cs="Times New Roman"/>
                <w:i/>
              </w:rPr>
              <w:t>Основну земельну ділянку рішенням Київської міської ради від 09</w:t>
            </w:r>
            <w:r>
              <w:rPr>
                <w:rFonts w:ascii="Times New Roman" w:hAnsi="Times New Roman" w:cs="Times New Roman"/>
                <w:i/>
              </w:rPr>
              <w:t>.07.</w:t>
            </w:r>
            <w:r w:rsidRPr="00276F14">
              <w:rPr>
                <w:rFonts w:ascii="Times New Roman" w:hAnsi="Times New Roman" w:cs="Times New Roman"/>
                <w:i/>
              </w:rPr>
              <w:t xml:space="preserve">2009 № 986/2042 передано у спільну часткову власність </w:t>
            </w:r>
            <w:proofErr w:type="spellStart"/>
            <w:r w:rsidRPr="00276F14">
              <w:rPr>
                <w:rFonts w:ascii="Times New Roman" w:hAnsi="Times New Roman" w:cs="Times New Roman"/>
                <w:i/>
              </w:rPr>
              <w:t>Кісель</w:t>
            </w:r>
            <w:proofErr w:type="spellEnd"/>
            <w:r w:rsidRPr="00276F14">
              <w:rPr>
                <w:rFonts w:ascii="Times New Roman" w:hAnsi="Times New Roman" w:cs="Times New Roman"/>
                <w:i/>
              </w:rPr>
              <w:t xml:space="preserve"> В.Г., </w:t>
            </w:r>
            <w:proofErr w:type="spellStart"/>
            <w:r w:rsidRPr="00276F14">
              <w:rPr>
                <w:rFonts w:ascii="Times New Roman" w:hAnsi="Times New Roman" w:cs="Times New Roman"/>
                <w:i/>
              </w:rPr>
              <w:t>Сухоносовій</w:t>
            </w:r>
            <w:proofErr w:type="spellEnd"/>
            <w:r w:rsidRPr="00276F14">
              <w:rPr>
                <w:rFonts w:ascii="Times New Roman" w:hAnsi="Times New Roman" w:cs="Times New Roman"/>
                <w:i/>
              </w:rPr>
              <w:t xml:space="preserve"> Д.В. (державні</w:t>
            </w:r>
            <w:r>
              <w:rPr>
                <w:rFonts w:ascii="Times New Roman" w:hAnsi="Times New Roman" w:cs="Times New Roman"/>
                <w:i/>
              </w:rPr>
              <w:t xml:space="preserve"> акти на право власності від 19.07.2012 </w:t>
            </w:r>
            <w:r w:rsidRPr="00276F14">
              <w:rPr>
                <w:rFonts w:ascii="Times New Roman" w:hAnsi="Times New Roman" w:cs="Times New Roman"/>
                <w:i/>
              </w:rPr>
              <w:t xml:space="preserve">). </w:t>
            </w:r>
          </w:p>
          <w:p w14:paraId="0D4FA1D5" w14:textId="77777777" w:rsidR="005E095F" w:rsidRDefault="00C15E3A" w:rsidP="005E560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</w:t>
            </w:r>
            <w:r w:rsidRPr="00211EDB">
              <w:rPr>
                <w:rFonts w:ascii="Times New Roman" w:hAnsi="Times New Roman"/>
                <w:i/>
              </w:rPr>
              <w:t>На вказану земельну ділянку розроблено та погоджено</w:t>
            </w:r>
          </w:p>
          <w:p w14:paraId="0E317C76" w14:textId="4FD08373" w:rsidR="00D54361" w:rsidRPr="00D54361" w:rsidRDefault="005E095F" w:rsidP="00C15E3A">
            <w:pPr>
              <w:tabs>
                <w:tab w:val="right" w:pos="6588"/>
              </w:tabs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11EDB">
              <w:rPr>
                <w:rFonts w:ascii="Times New Roman" w:hAnsi="Times New Roman"/>
                <w:i/>
              </w:rPr>
              <w:t>проєкти</w:t>
            </w:r>
            <w:proofErr w:type="spellEnd"/>
            <w:r w:rsidRPr="00211EDB">
              <w:rPr>
                <w:rFonts w:ascii="Times New Roman" w:hAnsi="Times New Roman"/>
                <w:i/>
              </w:rPr>
              <w:t xml:space="preserve"> землеустрою щодо відведення земельн</w:t>
            </w:r>
            <w:r>
              <w:rPr>
                <w:rFonts w:ascii="Times New Roman" w:hAnsi="Times New Roman"/>
                <w:i/>
              </w:rPr>
              <w:t>их</w:t>
            </w:r>
            <w:r w:rsidRPr="00211EDB">
              <w:rPr>
                <w:rFonts w:ascii="Times New Roman" w:hAnsi="Times New Roman"/>
                <w:i/>
              </w:rPr>
              <w:t xml:space="preserve"> ділян</w:t>
            </w:r>
            <w:r>
              <w:rPr>
                <w:rFonts w:ascii="Times New Roman" w:hAnsi="Times New Roman"/>
                <w:i/>
              </w:rPr>
              <w:t>о</w:t>
            </w:r>
            <w:r w:rsidRPr="00211EDB">
              <w:rPr>
                <w:rFonts w:ascii="Times New Roman" w:hAnsi="Times New Roman"/>
                <w:i/>
              </w:rPr>
              <w:t xml:space="preserve">к громадянину </w:t>
            </w:r>
            <w:proofErr w:type="spellStart"/>
            <w:r w:rsidRPr="00E57309">
              <w:rPr>
                <w:rFonts w:ascii="Times New Roman" w:hAnsi="Times New Roman"/>
                <w:i/>
              </w:rPr>
              <w:t>Сухоносову</w:t>
            </w:r>
            <w:proofErr w:type="spellEnd"/>
            <w:r w:rsidRPr="00E57309">
              <w:rPr>
                <w:rFonts w:ascii="Times New Roman" w:hAnsi="Times New Roman"/>
                <w:i/>
              </w:rPr>
              <w:t xml:space="preserve"> О.Г.</w:t>
            </w:r>
            <w:r>
              <w:rPr>
                <w:rFonts w:ascii="Times New Roman" w:hAnsi="Times New Roman"/>
                <w:i/>
              </w:rPr>
              <w:t xml:space="preserve"> та громадянці                </w:t>
            </w:r>
            <w:proofErr w:type="spellStart"/>
            <w:r w:rsidRPr="00211EDB">
              <w:rPr>
                <w:rFonts w:ascii="Times New Roman" w:hAnsi="Times New Roman"/>
                <w:i/>
              </w:rPr>
              <w:t>Сухоносовій</w:t>
            </w:r>
            <w:proofErr w:type="spellEnd"/>
            <w:r w:rsidRPr="00211EDB">
              <w:rPr>
                <w:rFonts w:ascii="Times New Roman" w:hAnsi="Times New Roman"/>
                <w:i/>
              </w:rPr>
              <w:t xml:space="preserve"> О. О.</w:t>
            </w:r>
            <w:r w:rsidRPr="00E57309">
              <w:rPr>
                <w:rFonts w:ascii="Times New Roman" w:hAnsi="Times New Roman"/>
                <w:i/>
              </w:rPr>
              <w:t xml:space="preserve"> та підготовлено </w:t>
            </w:r>
            <w:proofErr w:type="spellStart"/>
            <w:r w:rsidRPr="00E57309">
              <w:rPr>
                <w:rFonts w:ascii="Times New Roman" w:hAnsi="Times New Roman"/>
                <w:i/>
              </w:rPr>
              <w:t>проєкт</w:t>
            </w:r>
            <w:r>
              <w:rPr>
                <w:rFonts w:ascii="Times New Roman" w:hAnsi="Times New Roman"/>
                <w:i/>
              </w:rPr>
              <w:t>и</w:t>
            </w:r>
            <w:proofErr w:type="spellEnd"/>
            <w:r w:rsidRPr="00E57309">
              <w:rPr>
                <w:rFonts w:ascii="Times New Roman" w:hAnsi="Times New Roman"/>
                <w:i/>
              </w:rPr>
              <w:t xml:space="preserve"> рішення Київської міської ради «Про передачу громадянину</w:t>
            </w:r>
          </w:p>
        </w:tc>
      </w:tr>
      <w:tr w:rsidR="005E095F" w:rsidRPr="005A54C9" w14:paraId="6188CA6E" w14:textId="77777777" w:rsidTr="005E095F">
        <w:trPr>
          <w:cantSplit/>
          <w:trHeight w:val="8212"/>
        </w:trPr>
        <w:tc>
          <w:tcPr>
            <w:tcW w:w="3369" w:type="dxa"/>
            <w:tcBorders>
              <w:bottom w:val="single" w:sz="4" w:space="0" w:color="auto"/>
            </w:tcBorders>
          </w:tcPr>
          <w:p w14:paraId="4A13CC9E" w14:textId="77777777" w:rsidR="005E095F" w:rsidRPr="00276F14" w:rsidRDefault="005E095F" w:rsidP="00A1254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</w:tcPr>
          <w:p w14:paraId="3BC2E3D8" w14:textId="6BBF0DCD" w:rsidR="005E095F" w:rsidRPr="00211EDB" w:rsidRDefault="005E095F" w:rsidP="005E095F">
            <w:pPr>
              <w:tabs>
                <w:tab w:val="right" w:pos="6588"/>
              </w:tabs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E57309">
              <w:rPr>
                <w:rFonts w:ascii="Times New Roman" w:hAnsi="Times New Roman"/>
                <w:i/>
              </w:rPr>
              <w:t>Сухоносову</w:t>
            </w:r>
            <w:proofErr w:type="spellEnd"/>
            <w:r w:rsidRPr="00E57309">
              <w:rPr>
                <w:rFonts w:ascii="Times New Roman" w:hAnsi="Times New Roman"/>
                <w:i/>
              </w:rPr>
              <w:t xml:space="preserve"> Олександру Григоровичу у приватну власність земельної ділянки для будівництва і обслуговування жилого будинку</w:t>
            </w:r>
            <w:r>
              <w:rPr>
                <w:rFonts w:ascii="Times New Roman" w:hAnsi="Times New Roman"/>
                <w:i/>
              </w:rPr>
              <w:t xml:space="preserve">, господарських </w:t>
            </w:r>
            <w:r w:rsidRPr="00E57309">
              <w:rPr>
                <w:rFonts w:ascii="Times New Roman" w:hAnsi="Times New Roman"/>
                <w:i/>
              </w:rPr>
              <w:t xml:space="preserve">будівель і споруд на </w:t>
            </w:r>
            <w:r>
              <w:rPr>
                <w:rFonts w:ascii="Times New Roman" w:hAnsi="Times New Roman"/>
                <w:i/>
              </w:rPr>
              <w:t xml:space="preserve">                                    </w:t>
            </w:r>
            <w:r w:rsidRPr="00E57309">
              <w:rPr>
                <w:rFonts w:ascii="Times New Roman" w:hAnsi="Times New Roman"/>
                <w:i/>
              </w:rPr>
              <w:t>вул. Луговій, 61-б у</w:t>
            </w:r>
          </w:p>
          <w:p w14:paraId="3EAB9F93" w14:textId="77777777" w:rsidR="005E095F" w:rsidRDefault="005E095F" w:rsidP="005E095F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E57309">
              <w:rPr>
                <w:rFonts w:ascii="Times New Roman" w:hAnsi="Times New Roman"/>
                <w:i/>
              </w:rPr>
              <w:t>Солом'янському районі міста Києва»</w:t>
            </w:r>
            <w:r>
              <w:rPr>
                <w:rFonts w:ascii="Times New Roman" w:hAnsi="Times New Roman"/>
                <w:i/>
              </w:rPr>
              <w:t xml:space="preserve"> (справа </w:t>
            </w:r>
            <w:r w:rsidRPr="006C4589">
              <w:rPr>
                <w:rFonts w:ascii="Times New Roman" w:hAnsi="Times New Roman"/>
                <w:i/>
              </w:rPr>
              <w:t>752988272)</w:t>
            </w:r>
            <w:r>
              <w:rPr>
                <w:rFonts w:ascii="Times New Roman" w:hAnsi="Times New Roman"/>
                <w:i/>
              </w:rPr>
              <w:t>, «</w:t>
            </w:r>
            <w:r w:rsidRPr="00211EDB">
              <w:rPr>
                <w:rFonts w:ascii="Times New Roman" w:hAnsi="Times New Roman"/>
                <w:i/>
              </w:rPr>
              <w:t xml:space="preserve">Про передачу громадянці </w:t>
            </w:r>
            <w:proofErr w:type="spellStart"/>
            <w:r w:rsidRPr="00211EDB">
              <w:rPr>
                <w:rFonts w:ascii="Times New Roman" w:hAnsi="Times New Roman"/>
                <w:i/>
              </w:rPr>
              <w:t>Сухоносовій</w:t>
            </w:r>
            <w:proofErr w:type="spellEnd"/>
            <w:r w:rsidRPr="00211EDB">
              <w:rPr>
                <w:rFonts w:ascii="Times New Roman" w:hAnsi="Times New Roman"/>
                <w:i/>
              </w:rPr>
              <w:t xml:space="preserve"> Ользі Олександрівні у приватну власність земельної ділянки для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14:paraId="59159687" w14:textId="77777777" w:rsidR="005E095F" w:rsidRPr="00E57309" w:rsidRDefault="005E095F" w:rsidP="005E095F">
            <w:pPr>
              <w:tabs>
                <w:tab w:val="right" w:pos="6588"/>
              </w:tabs>
              <w:jc w:val="both"/>
              <w:rPr>
                <w:rFonts w:ascii="Times New Roman" w:hAnsi="Times New Roman"/>
                <w:i/>
              </w:rPr>
            </w:pPr>
            <w:r w:rsidRPr="00211EDB">
              <w:rPr>
                <w:rFonts w:ascii="Times New Roman" w:hAnsi="Times New Roman"/>
                <w:i/>
              </w:rPr>
              <w:t>будівництва і обслуговування жилого будинку,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11EDB">
              <w:rPr>
                <w:rFonts w:ascii="Times New Roman" w:hAnsi="Times New Roman"/>
                <w:i/>
              </w:rPr>
              <w:t>господарських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11EDB">
              <w:rPr>
                <w:rFonts w:ascii="Times New Roman" w:hAnsi="Times New Roman"/>
                <w:i/>
              </w:rPr>
              <w:t>будівель і споруд на вул. Луговій, 61-а у Солом'янському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11EDB">
              <w:rPr>
                <w:rFonts w:ascii="Times New Roman" w:hAnsi="Times New Roman"/>
                <w:i/>
              </w:rPr>
              <w:t>районі міста Києва»</w:t>
            </w:r>
            <w:r>
              <w:rPr>
                <w:rFonts w:ascii="Times New Roman" w:hAnsi="Times New Roman"/>
                <w:i/>
              </w:rPr>
              <w:t xml:space="preserve"> (справа </w:t>
            </w:r>
            <w:r w:rsidRPr="006C4589">
              <w:rPr>
                <w:rFonts w:ascii="Times New Roman" w:hAnsi="Times New Roman"/>
                <w:i/>
              </w:rPr>
              <w:t>429277826)</w:t>
            </w:r>
          </w:p>
          <w:p w14:paraId="2C3CA7DD" w14:textId="77777777" w:rsidR="005E095F" w:rsidRDefault="005E095F" w:rsidP="005E095F">
            <w:pPr>
              <w:pStyle w:val="ParagraphStyle"/>
              <w:jc w:val="both"/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</w:pPr>
            <w:r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які 29.07.</w:t>
            </w:r>
            <w:r w:rsidRPr="00E57309"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2020 передано на розгляд до Київської м</w:t>
            </w:r>
            <w:r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і</w:t>
            </w:r>
            <w:r w:rsidRPr="00E57309">
              <w:rPr>
                <w:rFonts w:ascii="Times New Roman" w:eastAsia="Courier New" w:hAnsi="Times New Roman"/>
                <w:i/>
                <w:color w:val="000000"/>
                <w:lang w:val="uk-UA" w:eastAsia="uk-UA" w:bidi="uk-UA"/>
              </w:rPr>
              <w:t>ської ради.</w:t>
            </w:r>
          </w:p>
          <w:p w14:paraId="2E009590" w14:textId="77777777" w:rsidR="005E095F" w:rsidRPr="00F14BC5" w:rsidRDefault="005E095F" w:rsidP="005E095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14BC5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7768BB4" w14:textId="77777777" w:rsidR="005E095F" w:rsidRPr="00F14BC5" w:rsidRDefault="005E095F" w:rsidP="005E095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14BC5"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749DB72A" w14:textId="49DA62CA" w:rsidR="005E095F" w:rsidRPr="00211EDB" w:rsidRDefault="005E095F" w:rsidP="005E095F">
            <w:pPr>
              <w:tabs>
                <w:tab w:val="right" w:pos="6588"/>
              </w:tabs>
              <w:jc w:val="both"/>
              <w:rPr>
                <w:rFonts w:ascii="Times New Roman" w:hAnsi="Times New Roman"/>
                <w:i/>
              </w:rPr>
            </w:pPr>
            <w:r w:rsidRPr="00F14BC5"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 w:rsidRPr="00F14BC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14BC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8FA3F76" w14:textId="24D468CF" w:rsidR="001B26A0" w:rsidRPr="007F6B74" w:rsidRDefault="001B26A0" w:rsidP="001B26A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F6B74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 118 Земельного кодексу України</w:t>
      </w:r>
      <w:r w:rsidR="00AD17D8">
        <w:rPr>
          <w:sz w:val="24"/>
          <w:szCs w:val="24"/>
        </w:rPr>
        <w:t xml:space="preserve"> та </w:t>
      </w:r>
      <w:r w:rsidR="00AD17D8" w:rsidRPr="0070402C">
        <w:rPr>
          <w:sz w:val="24"/>
          <w:szCs w:val="24"/>
        </w:rPr>
        <w:t>Порядк</w:t>
      </w:r>
      <w:r w:rsidR="00AD17D8">
        <w:rPr>
          <w:sz w:val="24"/>
          <w:szCs w:val="24"/>
        </w:rPr>
        <w:t>ом</w:t>
      </w:r>
      <w:r w:rsidR="00AD17D8" w:rsidRPr="0070402C">
        <w:rPr>
          <w:sz w:val="24"/>
          <w:szCs w:val="24"/>
        </w:rPr>
        <w:t xml:space="preserve"> набуття прав на землю із земель комунальної власності у місті Києві, затвердженого рішенням Київської міської ради від 20.04.2017 № 241/2463</w:t>
      </w:r>
      <w:r w:rsidRPr="007F6B74">
        <w:rPr>
          <w:sz w:val="24"/>
          <w:szCs w:val="24"/>
        </w:rPr>
        <w:t>.</w:t>
      </w:r>
    </w:p>
    <w:p w14:paraId="336180D6" w14:textId="77777777" w:rsidR="001B26A0" w:rsidRPr="007F6B74" w:rsidRDefault="001B26A0" w:rsidP="001B26A0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</w:t>
      </w:r>
      <w:r w:rsidRPr="007F6B74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3E986C08" w14:textId="77777777" w:rsidR="001B26A0" w:rsidRPr="007F6B74" w:rsidRDefault="001B26A0" w:rsidP="001B26A0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7F6B74">
        <w:rPr>
          <w:color w:val="auto"/>
          <w:sz w:val="24"/>
          <w:szCs w:val="24"/>
        </w:rPr>
        <w:t>Проєкт</w:t>
      </w:r>
      <w:proofErr w:type="spellEnd"/>
      <w:r w:rsidRPr="007F6B74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551AD0C0" w:rsidR="00114807" w:rsidRPr="003774B2" w:rsidRDefault="00114807" w:rsidP="00CF452C">
      <w:pPr>
        <w:pStyle w:val="1"/>
        <w:numPr>
          <w:ilvl w:val="0"/>
          <w:numId w:val="2"/>
        </w:numPr>
        <w:shd w:val="clear" w:color="auto" w:fill="auto"/>
        <w:spacing w:after="120"/>
        <w:ind w:firstLine="420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156F92A" w:rsidR="00114807" w:rsidRDefault="00114807" w:rsidP="001B26A0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7CD9791" w14:textId="77777777" w:rsidR="001B26A0" w:rsidRDefault="001B26A0" w:rsidP="001B26A0">
      <w:pPr>
        <w:pStyle w:val="1"/>
        <w:shd w:val="clear" w:color="auto" w:fill="auto"/>
        <w:jc w:val="both"/>
        <w:rPr>
          <w:i/>
          <w:sz w:val="24"/>
          <w:szCs w:val="24"/>
        </w:rPr>
      </w:pPr>
      <w:r w:rsidRPr="00CF2418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рішення стане </w:t>
      </w:r>
      <w:r w:rsidRPr="00CF2418">
        <w:rPr>
          <w:sz w:val="24"/>
          <w:szCs w:val="24"/>
        </w:rPr>
        <w:t>реалізація зацікавленою особою своїх прав щодо використання земельної ділянки</w:t>
      </w:r>
      <w:r>
        <w:rPr>
          <w:sz w:val="24"/>
          <w:szCs w:val="24"/>
        </w:rPr>
        <w:t>.</w:t>
      </w:r>
    </w:p>
    <w:p w14:paraId="7E1672B8" w14:textId="6BDF7D0F" w:rsidR="00114807" w:rsidRPr="003774B2" w:rsidRDefault="00114807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38C78F7B" w14:textId="77777777" w:rsidR="00CF452C" w:rsidRPr="00FF5BC7" w:rsidRDefault="00CF452C" w:rsidP="00CF452C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Pr="001B72A4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Pr="00CF452C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  <w:lang w:val="ru-RU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CA48A50" w14:textId="032B961F" w:rsidR="004848F0" w:rsidRPr="00D73F87" w:rsidRDefault="004848F0" w:rsidP="005E095F">
      <w:pPr>
        <w:pStyle w:val="1"/>
        <w:shd w:val="clear" w:color="auto" w:fill="auto"/>
        <w:spacing w:after="0"/>
        <w:ind w:firstLine="0"/>
      </w:pPr>
    </w:p>
    <w:sectPr w:rsidR="004848F0" w:rsidRPr="00D73F87" w:rsidSect="009446B9">
      <w:headerReference w:type="default" r:id="rId11"/>
      <w:footerReference w:type="default" r:id="rId12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C1EA" w14:textId="77777777" w:rsidR="002A3B79" w:rsidRDefault="002A3B79">
      <w:r>
        <w:separator/>
      </w:r>
    </w:p>
  </w:endnote>
  <w:endnote w:type="continuationSeparator" w:id="0">
    <w:p w14:paraId="6F2040BE" w14:textId="77777777" w:rsidR="002A3B79" w:rsidRDefault="002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97C52" w14:textId="77777777" w:rsidR="002A3B79" w:rsidRDefault="002A3B79"/>
  </w:footnote>
  <w:footnote w:type="continuationSeparator" w:id="0">
    <w:p w14:paraId="37A3B977" w14:textId="77777777" w:rsidR="002A3B79" w:rsidRDefault="002A3B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C04" w14:textId="3F2DE37F" w:rsidR="001B26A0" w:rsidRDefault="004347F6" w:rsidP="001B26A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1B26A0">
      <w:rPr>
        <w:sz w:val="12"/>
        <w:szCs w:val="12"/>
      </w:rPr>
      <w:t xml:space="preserve">Пояснювальна записка № </w:t>
    </w:r>
    <w:r w:rsidR="001B26A0" w:rsidRPr="001B26A0">
      <w:rPr>
        <w:sz w:val="12"/>
        <w:szCs w:val="12"/>
        <w:lang w:val="ru-RU"/>
      </w:rPr>
      <w:t>ПЗН-2328-11</w:t>
    </w:r>
    <w:r w:rsidR="001B26A0">
      <w:rPr>
        <w:sz w:val="12"/>
        <w:szCs w:val="12"/>
      </w:rPr>
      <w:t xml:space="preserve"> від </w:t>
    </w:r>
    <w:r w:rsidR="001B26A0" w:rsidRPr="0031125D">
      <w:rPr>
        <w:sz w:val="12"/>
        <w:szCs w:val="12"/>
      </w:rPr>
      <w:t>29.09.2023</w:t>
    </w:r>
    <w:r w:rsidR="001B26A0">
      <w:rPr>
        <w:sz w:val="12"/>
        <w:szCs w:val="12"/>
      </w:rPr>
      <w:t xml:space="preserve"> до справи 669610154</w:t>
    </w:r>
  </w:p>
  <w:p w14:paraId="2E60DAB9" w14:textId="3519F41F" w:rsidR="00862990" w:rsidRPr="007B7541" w:rsidRDefault="00862990" w:rsidP="001B26A0">
    <w:pPr>
      <w:pStyle w:val="20"/>
      <w:shd w:val="clear" w:color="auto" w:fill="auto"/>
      <w:spacing w:after="0"/>
      <w:rPr>
        <w:sz w:val="12"/>
        <w:szCs w:val="12"/>
      </w:rPr>
    </w:pPr>
    <w:r w:rsidRPr="007B7541">
      <w:rPr>
        <w:sz w:val="12"/>
        <w:szCs w:val="12"/>
      </w:rPr>
      <w:t>Сторінка</w:t>
    </w:r>
    <w:r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sz w:val="12"/>
            <w:szCs w:val="12"/>
          </w:rPr>
          <w:fldChar w:fldCharType="begin"/>
        </w:r>
        <w:r w:rsidRPr="007B7541">
          <w:rPr>
            <w:sz w:val="12"/>
            <w:szCs w:val="12"/>
          </w:rPr>
          <w:instrText>PAGE   \* MERGEFORMAT</w:instrText>
        </w:r>
        <w:r w:rsidRPr="007B7541">
          <w:rPr>
            <w:sz w:val="12"/>
            <w:szCs w:val="12"/>
          </w:rPr>
          <w:fldChar w:fldCharType="separate"/>
        </w:r>
        <w:r w:rsidR="00245D94" w:rsidRPr="00245D94">
          <w:rPr>
            <w:noProof/>
            <w:sz w:val="12"/>
            <w:szCs w:val="12"/>
            <w:lang w:val="ru-RU"/>
          </w:rPr>
          <w:t>2</w:t>
        </w:r>
        <w:r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83014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96AE4"/>
    <w:rsid w:val="000A71E1"/>
    <w:rsid w:val="000F1896"/>
    <w:rsid w:val="000F7620"/>
    <w:rsid w:val="00110C03"/>
    <w:rsid w:val="00114807"/>
    <w:rsid w:val="001409D2"/>
    <w:rsid w:val="00154335"/>
    <w:rsid w:val="00175FD0"/>
    <w:rsid w:val="001B26A0"/>
    <w:rsid w:val="001B72A4"/>
    <w:rsid w:val="001E52DA"/>
    <w:rsid w:val="001E7256"/>
    <w:rsid w:val="00225462"/>
    <w:rsid w:val="00232D6B"/>
    <w:rsid w:val="002438BA"/>
    <w:rsid w:val="00245D94"/>
    <w:rsid w:val="00294238"/>
    <w:rsid w:val="002A3B79"/>
    <w:rsid w:val="002E2E81"/>
    <w:rsid w:val="00302B67"/>
    <w:rsid w:val="003047FC"/>
    <w:rsid w:val="0031125D"/>
    <w:rsid w:val="00347B41"/>
    <w:rsid w:val="003568E0"/>
    <w:rsid w:val="003657A3"/>
    <w:rsid w:val="003732A8"/>
    <w:rsid w:val="003774B2"/>
    <w:rsid w:val="00381017"/>
    <w:rsid w:val="003B08D2"/>
    <w:rsid w:val="003C3F52"/>
    <w:rsid w:val="003C7FE3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5E095F"/>
    <w:rsid w:val="005E5602"/>
    <w:rsid w:val="00604821"/>
    <w:rsid w:val="00611380"/>
    <w:rsid w:val="00612CED"/>
    <w:rsid w:val="00646D36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02FF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4A57"/>
    <w:rsid w:val="008669DB"/>
    <w:rsid w:val="00877E56"/>
    <w:rsid w:val="008A63AB"/>
    <w:rsid w:val="008C3AF2"/>
    <w:rsid w:val="008F6A51"/>
    <w:rsid w:val="009143F7"/>
    <w:rsid w:val="009253F7"/>
    <w:rsid w:val="009446B9"/>
    <w:rsid w:val="00956D65"/>
    <w:rsid w:val="00976A7B"/>
    <w:rsid w:val="00985A01"/>
    <w:rsid w:val="009A71BD"/>
    <w:rsid w:val="009B44EB"/>
    <w:rsid w:val="009B470E"/>
    <w:rsid w:val="009C3DF4"/>
    <w:rsid w:val="009C3F40"/>
    <w:rsid w:val="009C5EF0"/>
    <w:rsid w:val="009D0682"/>
    <w:rsid w:val="009D391D"/>
    <w:rsid w:val="009F5380"/>
    <w:rsid w:val="00A12978"/>
    <w:rsid w:val="00A20E31"/>
    <w:rsid w:val="00A26935"/>
    <w:rsid w:val="00A565E9"/>
    <w:rsid w:val="00A6701F"/>
    <w:rsid w:val="00A723F2"/>
    <w:rsid w:val="00A738AB"/>
    <w:rsid w:val="00AA7FEA"/>
    <w:rsid w:val="00AD17D8"/>
    <w:rsid w:val="00AE5D62"/>
    <w:rsid w:val="00AF38B3"/>
    <w:rsid w:val="00B1059F"/>
    <w:rsid w:val="00B205E2"/>
    <w:rsid w:val="00B25080"/>
    <w:rsid w:val="00B55B51"/>
    <w:rsid w:val="00B76A35"/>
    <w:rsid w:val="00B90FAD"/>
    <w:rsid w:val="00B975D8"/>
    <w:rsid w:val="00BA02ED"/>
    <w:rsid w:val="00BA3AB4"/>
    <w:rsid w:val="00BB2AE1"/>
    <w:rsid w:val="00BD4A71"/>
    <w:rsid w:val="00C12782"/>
    <w:rsid w:val="00C15E3A"/>
    <w:rsid w:val="00C16815"/>
    <w:rsid w:val="00C37F92"/>
    <w:rsid w:val="00C4349F"/>
    <w:rsid w:val="00C55D40"/>
    <w:rsid w:val="00C8138C"/>
    <w:rsid w:val="00C87121"/>
    <w:rsid w:val="00C95FDB"/>
    <w:rsid w:val="00C97F46"/>
    <w:rsid w:val="00CA031A"/>
    <w:rsid w:val="00CC567E"/>
    <w:rsid w:val="00CF452C"/>
    <w:rsid w:val="00D01B15"/>
    <w:rsid w:val="00D23EC9"/>
    <w:rsid w:val="00D35106"/>
    <w:rsid w:val="00D40C56"/>
    <w:rsid w:val="00D53919"/>
    <w:rsid w:val="00D54361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41F4"/>
    <w:rsid w:val="00E83B0D"/>
    <w:rsid w:val="00E87D3E"/>
    <w:rsid w:val="00E91DBF"/>
    <w:rsid w:val="00EB0E01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66157"/>
    <w:rsid w:val="00F66987"/>
    <w:rsid w:val="00F66E0E"/>
    <w:rsid w:val="00F7097B"/>
    <w:rsid w:val="00F81254"/>
    <w:rsid w:val="00F87E6B"/>
    <w:rsid w:val="00FA2446"/>
    <w:rsid w:val="00FA5B16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customStyle="1" w:styleId="ParagraphStyle">
    <w:name w:val="Paragraph Style"/>
    <w:rsid w:val="001B72A4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1B72A4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1B72A4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EB0E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proko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E306-D709-4201-A958-3BAD68FA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7453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Прокопенко Олена Олександрівна</dc:creator>
  <cp:lastModifiedBy>Корнійчук Олеся Михайлівна</cp:lastModifiedBy>
  <cp:revision>2</cp:revision>
  <cp:lastPrinted>2023-10-04T12:34:00Z</cp:lastPrinted>
  <dcterms:created xsi:type="dcterms:W3CDTF">2023-10-06T07:45:00Z</dcterms:created>
  <dcterms:modified xsi:type="dcterms:W3CDTF">2023-10-06T07:45:00Z</dcterms:modified>
</cp:coreProperties>
</file>