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17637CB2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78"/>
      </w:tblGrid>
      <w:tr w:rsidR="00F6318B" w:rsidRPr="007E2864" w14:paraId="6C1844F6" w14:textId="77777777" w:rsidTr="00C63E13">
        <w:trPr>
          <w:trHeight w:val="2500"/>
        </w:trPr>
        <w:tc>
          <w:tcPr>
            <w:tcW w:w="4678" w:type="dxa"/>
            <w:shd w:val="clear" w:color="auto" w:fill="auto"/>
            <w:hideMark/>
          </w:tcPr>
          <w:p w14:paraId="22427F3E" w14:textId="6EB56D48" w:rsidR="00F6318B" w:rsidRPr="00B0502F" w:rsidRDefault="00E2725F" w:rsidP="00C63E13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63E13" w:rsidRPr="00C63E13">
              <w:rPr>
                <w:b/>
                <w:sz w:val="28"/>
                <w:szCs w:val="28"/>
                <w:highlight w:val="white"/>
                <w:lang w:eastAsia="uk-UA"/>
              </w:rPr>
              <w:t>товариств</w:t>
            </w:r>
            <w:proofErr w:type="spellEnd"/>
            <w:r w:rsidR="00C63E13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C63E13" w:rsidRPr="00C63E13">
              <w:rPr>
                <w:b/>
                <w:sz w:val="28"/>
                <w:szCs w:val="28"/>
                <w:highlight w:val="white"/>
                <w:lang w:eastAsia="uk-UA"/>
              </w:rPr>
              <w:t xml:space="preserve"> з </w:t>
            </w:r>
            <w:proofErr w:type="spellStart"/>
            <w:r w:rsidR="00C63E13" w:rsidRPr="00C63E13">
              <w:rPr>
                <w:b/>
                <w:sz w:val="28"/>
                <w:szCs w:val="28"/>
                <w:highlight w:val="white"/>
                <w:lang w:eastAsia="uk-UA"/>
              </w:rPr>
              <w:t>обмеженою</w:t>
            </w:r>
            <w:proofErr w:type="spellEnd"/>
            <w:r w:rsidR="00C63E13" w:rsidRPr="00C63E13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C63E13" w:rsidRPr="00C63E13">
              <w:rPr>
                <w:b/>
                <w:sz w:val="28"/>
                <w:szCs w:val="28"/>
                <w:highlight w:val="white"/>
                <w:lang w:eastAsia="uk-UA"/>
              </w:rPr>
              <w:t>відповідальністю</w:t>
            </w:r>
            <w:proofErr w:type="spellEnd"/>
            <w:r w:rsidR="00C63E13" w:rsidRPr="00C63E13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r w:rsidR="00C72FE2" w:rsidRPr="00C63E13">
              <w:rPr>
                <w:b/>
                <w:sz w:val="28"/>
                <w:szCs w:val="28"/>
                <w:highlight w:val="white"/>
                <w:lang w:eastAsia="uk-UA"/>
              </w:rPr>
              <w:t>«5-Й КИЇВСЬКИЙ АВТОРЕМОНТНИЙ ЗАВОД»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26 червня 2007 року </w:t>
            </w:r>
            <w:r w:rsidR="00C63E13">
              <w:rPr>
                <w:b/>
                <w:sz w:val="28"/>
                <w:szCs w:val="28"/>
                <w:lang w:val="uk-UA"/>
              </w:rPr>
              <w:t xml:space="preserve">              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№ 72-6-00427 (зі змінами</w:t>
            </w:r>
            <w:r w:rsidR="00C63E13">
              <w:rPr>
                <w:b/>
                <w:sz w:val="28"/>
                <w:szCs w:val="28"/>
                <w:lang w:val="uk-UA"/>
              </w:rPr>
              <w:t>)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661990563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>
                <v:textbox style="mso-fit-shape-to-text:t">
                  <w:txbxContent>
                    <w:p w:rsidRPr="00103F8D" w:rsidR="008A6D0F" w:rsidP="00E476B7" w:rsidRDefault="00103F8D" w14:paraId="12AFE333" w14:textId="22F971D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Style w:val="af1"/>
                          <w:i w:val="0"/>
                          <w:lang w:val="en-US"/>
                        </w:rPr>
                        <w:t xml:space="preserve">661990563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084C7586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</w:t>
      </w:r>
      <w:r w:rsidR="00266878">
        <w:rPr>
          <w:snapToGrid w:val="0"/>
          <w:sz w:val="28"/>
          <w:lang w:val="uk-UA"/>
        </w:rPr>
        <w:t>, статті 60</w:t>
      </w:r>
      <w:r>
        <w:rPr>
          <w:snapToGrid w:val="0"/>
          <w:sz w:val="28"/>
          <w:lang w:val="uk-UA"/>
        </w:rPr>
        <w:t xml:space="preserve"> Закону України «Про місцеве самоврядування в Україні» та враховуючи звернення </w:t>
      </w:r>
      <w:r w:rsidR="00DD560E" w:rsidRPr="00C63E13">
        <w:rPr>
          <w:snapToGrid w:val="0"/>
          <w:sz w:val="28"/>
          <w:lang w:val="uk-UA"/>
        </w:rPr>
        <w:t>товариств</w:t>
      </w:r>
      <w:r w:rsidR="00DD560E">
        <w:rPr>
          <w:snapToGrid w:val="0"/>
          <w:sz w:val="28"/>
          <w:lang w:val="uk-UA"/>
        </w:rPr>
        <w:t xml:space="preserve">а з </w:t>
      </w:r>
      <w:r w:rsidR="0016164A">
        <w:rPr>
          <w:snapToGrid w:val="0"/>
          <w:sz w:val="28"/>
          <w:lang w:val="uk-UA"/>
        </w:rPr>
        <w:t xml:space="preserve">                   </w:t>
      </w:r>
      <w:r w:rsidR="00DD560E">
        <w:rPr>
          <w:snapToGrid w:val="0"/>
          <w:sz w:val="28"/>
          <w:lang w:val="uk-UA"/>
        </w:rPr>
        <w:t xml:space="preserve">обмеженою відповідальністю </w:t>
      </w:r>
      <w:r w:rsidRPr="00C63E13">
        <w:rPr>
          <w:snapToGrid w:val="0"/>
          <w:sz w:val="28"/>
          <w:lang w:val="uk-UA"/>
        </w:rPr>
        <w:t>«5-Й КИЇВСЬКИЙ АВТОРЕМОНТНИЙ ЗАВОД»</w:t>
      </w:r>
      <w:r>
        <w:rPr>
          <w:snapToGrid w:val="0"/>
          <w:sz w:val="28"/>
          <w:lang w:val="uk-UA"/>
        </w:rPr>
        <w:t xml:space="preserve"> </w:t>
      </w:r>
      <w:r w:rsidR="00DD560E">
        <w:rPr>
          <w:snapToGrid w:val="0"/>
          <w:sz w:val="28"/>
          <w:lang w:val="uk-UA"/>
        </w:rPr>
        <w:t xml:space="preserve">                                 </w:t>
      </w:r>
      <w:r>
        <w:rPr>
          <w:snapToGrid w:val="0"/>
          <w:sz w:val="28"/>
          <w:lang w:val="uk-UA"/>
        </w:rPr>
        <w:t xml:space="preserve">від </w:t>
      </w:r>
      <w:r w:rsidR="005C6107" w:rsidRPr="00C63E13">
        <w:rPr>
          <w:snapToGrid w:val="0"/>
          <w:sz w:val="28"/>
          <w:lang w:val="uk-UA"/>
        </w:rPr>
        <w:t>21 вересня 2022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>
        <w:rPr>
          <w:snapToGrid w:val="0"/>
          <w:sz w:val="28"/>
          <w:lang w:val="uk-UA"/>
        </w:rPr>
        <w:t xml:space="preserve">№ </w:t>
      </w:r>
      <w:r w:rsidRPr="00C63E13">
        <w:rPr>
          <w:snapToGrid w:val="0"/>
          <w:sz w:val="28"/>
          <w:lang w:val="uk-UA"/>
        </w:rPr>
        <w:t>661990563</w:t>
      </w:r>
      <w:r w:rsidR="00B26E43">
        <w:rPr>
          <w:snapToGrid w:val="0"/>
          <w:sz w:val="28"/>
          <w:lang w:val="uk-UA"/>
        </w:rPr>
        <w:t xml:space="preserve">, </w:t>
      </w:r>
      <w:r w:rsidR="00266878">
        <w:rPr>
          <w:snapToGrid w:val="0"/>
          <w:sz w:val="28"/>
          <w:lang w:val="uk-UA"/>
        </w:rPr>
        <w:t>від 09 листопада 2022 року № 82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DD560E">
      <w:pPr>
        <w:pStyle w:val="ParagraphStyle"/>
        <w:ind w:right="-1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2F054C2F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DD560E" w:rsidRPr="00C63E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DD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DD560E" w:rsidRPr="00C63E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«5-Й КИЇВСЬКИЙ АВТОРЕМОНТНИЙ ЗАВОД»</w:t>
      </w:r>
      <w:r w:rsidR="00DD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C63E13">
        <w:rPr>
          <w:rFonts w:ascii="Times New Roman" w:hAnsi="Times New Roman"/>
          <w:sz w:val="28"/>
          <w:szCs w:val="28"/>
          <w:lang w:val="uk-UA"/>
        </w:rPr>
        <w:t>5 років</w:t>
      </w:r>
      <w:r>
        <w:rPr>
          <w:rFonts w:ascii="Times New Roman" w:hAnsi="Times New Roman"/>
          <w:sz w:val="28"/>
          <w:szCs w:val="28"/>
          <w:lang w:val="uk-UA"/>
        </w:rPr>
        <w:t xml:space="preserve"> договір оренди земельної ділянки </w:t>
      </w:r>
      <w:r w:rsidR="00DD560E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>від 26 червня 2007 року № 72-6-00427 (</w:t>
      </w:r>
      <w:r w:rsidR="0016164A">
        <w:rPr>
          <w:rFonts w:ascii="Times New Roman" w:hAnsi="Times New Roman"/>
          <w:sz w:val="28"/>
          <w:szCs w:val="28"/>
          <w:lang w:val="uk-UA"/>
        </w:rPr>
        <w:t xml:space="preserve">у редакції договору про поновлення договору оренди </w:t>
      </w:r>
      <w:r w:rsidR="00B26E43">
        <w:rPr>
          <w:rFonts w:ascii="Times New Roman" w:hAnsi="Times New Roman"/>
          <w:sz w:val="28"/>
          <w:szCs w:val="28"/>
          <w:lang w:val="uk-UA"/>
        </w:rPr>
        <w:t xml:space="preserve">земельної ділянки </w:t>
      </w:r>
      <w:r w:rsidR="0016164A">
        <w:rPr>
          <w:rFonts w:ascii="Times New Roman" w:hAnsi="Times New Roman"/>
          <w:sz w:val="28"/>
          <w:szCs w:val="28"/>
          <w:lang w:val="uk-UA"/>
        </w:rPr>
        <w:t>від 15 грудня 2017 року № 390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63E13">
        <w:rPr>
          <w:rFonts w:ascii="Times New Roman" w:hAnsi="Times New Roman"/>
          <w:sz w:val="28"/>
          <w:szCs w:val="28"/>
          <w:lang w:val="uk-UA"/>
        </w:rPr>
        <w:t xml:space="preserve">для експлуатації та обслуговування адміністративно-виробничих та складських будівель </w:t>
      </w:r>
      <w:r w:rsidR="00544E97">
        <w:rPr>
          <w:rFonts w:ascii="Times New Roman" w:hAnsi="Times New Roman"/>
          <w:sz w:val="28"/>
          <w:szCs w:val="28"/>
          <w:lang w:val="uk-UA"/>
        </w:rPr>
        <w:t>і</w:t>
      </w:r>
      <w:r w:rsidRPr="00C63E13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DD560E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C63E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просп</w:t>
      </w:r>
      <w:proofErr w:type="spellEnd"/>
      <w:r w:rsidRPr="00C63E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Повітрофлотськ</w:t>
      </w:r>
      <w:r w:rsidR="00DD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proofErr w:type="spellEnd"/>
      <w:r w:rsidR="00DD56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64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Солом'янському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4E9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DD560E">
        <w:rPr>
          <w:rFonts w:ascii="Times New Roman" w:hAnsi="Times New Roman"/>
          <w:sz w:val="28"/>
          <w:szCs w:val="28"/>
          <w:lang w:val="uk-UA"/>
        </w:rPr>
        <w:t xml:space="preserve">кадастровий номер </w:t>
      </w:r>
      <w:r w:rsidR="00DD560E" w:rsidRPr="00C63E13">
        <w:rPr>
          <w:rFonts w:ascii="Times New Roman" w:hAnsi="Times New Roman"/>
          <w:sz w:val="28"/>
          <w:szCs w:val="28"/>
          <w:lang w:val="uk-UA"/>
        </w:rPr>
        <w:t>8000000000:72:366:0007</w:t>
      </w:r>
      <w:r w:rsidR="00DD560E">
        <w:rPr>
          <w:rFonts w:ascii="Times New Roman" w:hAnsi="Times New Roman"/>
          <w:sz w:val="28"/>
          <w:szCs w:val="28"/>
          <w:lang w:val="uk-UA"/>
        </w:rPr>
        <w:t xml:space="preserve">; площа </w:t>
      </w:r>
      <w:r w:rsidR="00DD560E" w:rsidRPr="00C63E13">
        <w:rPr>
          <w:rFonts w:ascii="Times New Roman" w:hAnsi="Times New Roman"/>
          <w:sz w:val="28"/>
          <w:szCs w:val="28"/>
          <w:highlight w:val="white"/>
          <w:lang w:val="uk-UA" w:eastAsia="uk-UA"/>
        </w:rPr>
        <w:t>0,1614</w:t>
      </w:r>
      <w:r w:rsidR="00DD56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DD560E">
        <w:rPr>
          <w:rFonts w:ascii="Times New Roman" w:hAnsi="Times New Roman"/>
          <w:sz w:val="28"/>
          <w:szCs w:val="28"/>
          <w:lang w:val="uk-UA"/>
        </w:rPr>
        <w:t xml:space="preserve">га; </w:t>
      </w:r>
      <w:r w:rsidR="00690571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gramEnd"/>
      <w:r w:rsidR="00690571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справа № </w:t>
      </w:r>
      <w:r w:rsidRPr="00704893">
        <w:rPr>
          <w:rFonts w:ascii="Times New Roman" w:hAnsi="Times New Roman"/>
          <w:sz w:val="28"/>
          <w:szCs w:val="28"/>
          <w:lang w:val="uk-UA"/>
        </w:rPr>
        <w:t>661990563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4237E4A4" w14:textId="5390A067" w:rsidR="004D40FD" w:rsidRDefault="002E402E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 розмір річної орендної плати та інші умови договору оренди земельної ділянки від 26 червня 2007 року № 72-6-00427 (зі змінами</w:t>
      </w:r>
      <w:r w:rsidR="00DD560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6B9E28B" w14:textId="76E80D0F" w:rsidR="00C72FE2" w:rsidRDefault="00DD560E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DD560E">
        <w:rPr>
          <w:rFonts w:ascii="Times New Roman" w:hAnsi="Times New Roman"/>
          <w:sz w:val="28"/>
          <w:szCs w:val="28"/>
          <w:lang w:val="uk-UA"/>
        </w:rPr>
        <w:t>овариств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D560E">
        <w:rPr>
          <w:rFonts w:ascii="Times New Roman" w:hAnsi="Times New Roman"/>
          <w:sz w:val="28"/>
          <w:szCs w:val="28"/>
          <w:lang w:val="uk-UA"/>
        </w:rPr>
        <w:t xml:space="preserve">з обмеженою відповідальністю </w:t>
      </w:r>
      <w:r w:rsidR="00C72FE2" w:rsidRPr="00DD560E">
        <w:rPr>
          <w:rFonts w:ascii="Times New Roman" w:hAnsi="Times New Roman"/>
          <w:sz w:val="28"/>
          <w:szCs w:val="28"/>
          <w:lang w:val="uk-UA"/>
        </w:rPr>
        <w:t>«5-Й КИЇВСЬКИЙ АВТОРЕМОНТНИЙ ЗАВОД»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64A" w:rsidRPr="00FC3138">
        <w:rPr>
          <w:rFonts w:ascii="Times New Roman" w:hAnsi="Times New Roman"/>
          <w:sz w:val="28"/>
          <w:szCs w:val="28"/>
          <w:lang w:val="uk-UA"/>
        </w:rPr>
        <w:t>у мі</w:t>
      </w:r>
      <w:r w:rsidR="0016164A">
        <w:rPr>
          <w:rFonts w:ascii="Times New Roman" w:hAnsi="Times New Roman"/>
          <w:sz w:val="28"/>
          <w:szCs w:val="28"/>
          <w:lang w:val="uk-UA"/>
        </w:rPr>
        <w:t xml:space="preserve">сячний строк з дати оприлюднення цього </w:t>
      </w:r>
      <w:r w:rsidR="0016164A">
        <w:rPr>
          <w:rFonts w:ascii="Times New Roman" w:hAnsi="Times New Roman"/>
          <w:sz w:val="28"/>
          <w:szCs w:val="28"/>
          <w:lang w:val="uk-UA"/>
        </w:rPr>
        <w:lastRenderedPageBreak/>
        <w:t xml:space="preserve">рішення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земельної ділянки від 26 червня 2007 року </w:t>
      </w:r>
      <w:r w:rsidR="0016164A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№ 72-6-00427 (зі змінами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 новий строк.</w:t>
      </w:r>
    </w:p>
    <w:p w14:paraId="5434EA6D" w14:textId="498E32FB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DD35864" w14:textId="11E765B9" w:rsidR="00FF2729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75362C11" w14:textId="77777777" w:rsidR="00E476B7" w:rsidRPr="00547501" w:rsidRDefault="00E476B7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E476B7" w14:paraId="64458F84" w14:textId="77777777" w:rsidTr="001C3D70">
        <w:tc>
          <w:tcPr>
            <w:tcW w:w="6096" w:type="dxa"/>
          </w:tcPr>
          <w:p w14:paraId="5CCF5127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8692A66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03A0952" w14:textId="158C4DBE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43" w:type="dxa"/>
          </w:tcPr>
          <w:p w14:paraId="423E2A7F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79F0F3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84372D" w14:textId="6B1DE9A9" w:rsidR="00E476B7" w:rsidRDefault="00E476B7" w:rsidP="00E80871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476B7" w14:paraId="4A4AAC9C" w14:textId="77777777" w:rsidTr="001C3D70">
        <w:trPr>
          <w:trHeight w:val="1257"/>
        </w:trPr>
        <w:tc>
          <w:tcPr>
            <w:tcW w:w="6096" w:type="dxa"/>
          </w:tcPr>
          <w:p w14:paraId="169C7970" w14:textId="77777777" w:rsidR="00E476B7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1015C9B" w14:textId="69E21827" w:rsidR="00E476B7" w:rsidRPr="00CB7BE4" w:rsidRDefault="00CB385C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E476B7"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C4A8431" w14:textId="77777777" w:rsidR="00E476B7" w:rsidRPr="00CB7BE4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B9F9ED5" w14:textId="01BE3C7F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709446BB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31C1550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64AEAD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D78A80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EC2827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59D3017" w14:textId="38D35722" w:rsidR="00E476B7" w:rsidRDefault="00E476B7" w:rsidP="00CB385C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proofErr w:type="spellStart"/>
            <w:r w:rsidRPr="00CB7BE4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CB7BE4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752D4D" w14:paraId="2D7909BE" w14:textId="77777777" w:rsidTr="001C3D70">
        <w:trPr>
          <w:trHeight w:val="1589"/>
        </w:trPr>
        <w:tc>
          <w:tcPr>
            <w:tcW w:w="6096" w:type="dxa"/>
          </w:tcPr>
          <w:p w14:paraId="48D4DA67" w14:textId="77777777" w:rsidR="00752D4D" w:rsidRDefault="00752D4D" w:rsidP="00752D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8CB823A" w14:textId="77777777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224FB8A0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76A8586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13D8D68" w14:textId="7C9156BE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03580B4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C6199F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81B4288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5BFC1F0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33143262" w14:textId="77777777" w:rsidR="0064784D" w:rsidRPr="0064784D" w:rsidRDefault="0064784D" w:rsidP="0064784D">
            <w:pPr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2D66E9B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2C7BF3B4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5579F32B" w14:textId="375E01E8" w:rsidR="0064784D" w:rsidRDefault="00D204BE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  <w:r w:rsidRPr="00752D4D">
              <w:rPr>
                <w:snapToGrid w:val="0"/>
                <w:sz w:val="28"/>
                <w:szCs w:val="28"/>
                <w:lang w:val="uk-UA" w:eastAsia="en-US"/>
              </w:rPr>
              <w:t>Віктор ДВОРНІКОВ</w:t>
            </w:r>
          </w:p>
          <w:p w14:paraId="1166BD4E" w14:textId="7605BEE9" w:rsidR="0064784D" w:rsidRP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</w:tc>
      </w:tr>
      <w:tr w:rsidR="00752D4D" w14:paraId="67C3D628" w14:textId="77777777" w:rsidTr="001C3D70">
        <w:trPr>
          <w:trHeight w:val="1705"/>
        </w:trPr>
        <w:tc>
          <w:tcPr>
            <w:tcW w:w="6096" w:type="dxa"/>
          </w:tcPr>
          <w:p w14:paraId="02782F3E" w14:textId="77777777" w:rsidR="00752D4D" w:rsidRDefault="00752D4D" w:rsidP="00752D4D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10E630D" w14:textId="427E4495" w:rsidR="001057BA" w:rsidRPr="00CB7BE4" w:rsidRDefault="00E111FB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FFAB1CF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F83FBA3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69D4134" w14:textId="255960DA" w:rsidR="00752D4D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3DF860E1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A1B3C17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4250AD4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7317B8B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21F3861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B493F40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9DB2914" w14:textId="7D5C5CD7" w:rsidR="00752D4D" w:rsidRPr="00E80871" w:rsidRDefault="00704893" w:rsidP="00057D32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Дмитро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РАДЗІЄВСЬКИЙ</w:t>
            </w:r>
          </w:p>
        </w:tc>
      </w:tr>
      <w:tr w:rsidR="007E2864" w14:paraId="1177AB87" w14:textId="77777777" w:rsidTr="001C3D70">
        <w:trPr>
          <w:trHeight w:val="1705"/>
        </w:trPr>
        <w:tc>
          <w:tcPr>
            <w:tcW w:w="6096" w:type="dxa"/>
          </w:tcPr>
          <w:p w14:paraId="4F77CF1E" w14:textId="77777777" w:rsidR="007E2864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25199D3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F870B05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0ABE90B7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4BC28469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EC43171" w14:textId="005E9860" w:rsidR="007E2864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48084163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7FC15ABD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37C302D7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F50C773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69005C58" w14:textId="77777777" w:rsidR="007E2864" w:rsidRDefault="007E2864" w:rsidP="007E2864">
            <w:pPr>
              <w:ind w:left="-105"/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4DE38671" w14:textId="77777777" w:rsidR="007E2864" w:rsidRPr="007D47C8" w:rsidRDefault="007E2864" w:rsidP="007E2864">
            <w:pPr>
              <w:ind w:left="-105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A9A04F" w14:textId="2CA97B2A" w:rsidR="007E2864" w:rsidRDefault="007E2864" w:rsidP="007E2864">
            <w:pPr>
              <w:ind w:left="-105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014B4A">
              <w:rPr>
                <w:rStyle w:val="af0"/>
                <w:b w:val="0"/>
                <w:sz w:val="28"/>
                <w:szCs w:val="28"/>
              </w:rPr>
              <w:t>Олексій</w:t>
            </w:r>
            <w:proofErr w:type="spellEnd"/>
            <w:r w:rsidRPr="00014B4A">
              <w:rPr>
                <w:rStyle w:val="af0"/>
                <w:b w:val="0"/>
                <w:sz w:val="28"/>
                <w:szCs w:val="28"/>
              </w:rPr>
              <w:t xml:space="preserve"> КОЛЯДЕНКО</w:t>
            </w:r>
          </w:p>
        </w:tc>
      </w:tr>
      <w:tr w:rsidR="007E2864" w14:paraId="160A9D94" w14:textId="77777777" w:rsidTr="001C3D70">
        <w:tc>
          <w:tcPr>
            <w:tcW w:w="6096" w:type="dxa"/>
          </w:tcPr>
          <w:p w14:paraId="0CCBF0FA" w14:textId="77777777" w:rsidR="007E2864" w:rsidRPr="0036363A" w:rsidRDefault="007E2864" w:rsidP="007E2864">
            <w:pPr>
              <w:spacing w:line="256" w:lineRule="auto"/>
              <w:outlineLvl w:val="0"/>
              <w:rPr>
                <w:sz w:val="28"/>
                <w:szCs w:val="28"/>
                <w:highlight w:val="yellow"/>
                <w:lang w:val="uk-UA" w:eastAsia="en-US"/>
              </w:rPr>
            </w:pPr>
          </w:p>
          <w:p w14:paraId="1382B061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Заступник директора Департаменту – </w:t>
            </w:r>
          </w:p>
          <w:p w14:paraId="17B53FAC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начальник управління землеустрою та ринку </w:t>
            </w:r>
          </w:p>
          <w:p w14:paraId="1F58796F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земель Департаменту земельних ресурсів</w:t>
            </w:r>
          </w:p>
          <w:p w14:paraId="203769E6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EAEF565" w14:textId="08E6567A" w:rsidR="007E2864" w:rsidRPr="0036363A" w:rsidRDefault="007E2864" w:rsidP="007E2864">
            <w:pPr>
              <w:ind w:left="-105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52F1E36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56E7403D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FED855D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D229551" w14:textId="24C2FC5B" w:rsidR="007E2864" w:rsidRPr="0036363A" w:rsidRDefault="007E2864" w:rsidP="007E2864">
            <w:pPr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09953ABF" w14:textId="0D7B0A0C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443D1A58" w14:textId="77286D58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4F7BED4" w14:textId="0F60C095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DC8C762" w14:textId="6A95B75E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CA876E8" w14:textId="35E64905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5E8C1B22" w14:textId="3FF9CAC8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CE535EB" w14:textId="30525B5A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2876396" w14:textId="7F044DCD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329A948" w14:textId="77777777" w:rsidR="007E2864" w:rsidRPr="0036363A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149B357A" w14:textId="77777777" w:rsidR="007E2864" w:rsidRPr="0036363A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908EA1F" w14:textId="0D9736F7" w:rsidR="007E2864" w:rsidRPr="0036363A" w:rsidRDefault="007E2864" w:rsidP="007E2864">
            <w:pPr>
              <w:jc w:val="right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7E2864" w14:paraId="7EF31E28" w14:textId="77777777" w:rsidTr="001C3D70">
        <w:tc>
          <w:tcPr>
            <w:tcW w:w="6096" w:type="dxa"/>
          </w:tcPr>
          <w:p w14:paraId="1E272164" w14:textId="77777777" w:rsidR="007E2864" w:rsidRDefault="007E2864" w:rsidP="007E2864">
            <w:pPr>
              <w:spacing w:line="256" w:lineRule="auto"/>
              <w:ind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05C9FCE" w14:textId="77777777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2262C6C1" w14:textId="622FA47E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 w:rsidR="00DD560E">
              <w:rPr>
                <w:snapToGrid w:val="0"/>
                <w:sz w:val="28"/>
                <w:szCs w:val="28"/>
                <w:lang w:val="uk-UA" w:eastAsia="en-US"/>
              </w:rPr>
              <w:t xml:space="preserve">землеустрою та 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ринку земель</w:t>
            </w:r>
          </w:p>
          <w:p w14:paraId="426F9E99" w14:textId="4882B270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F242E2B" w14:textId="161AFBA8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304BE2F9" w14:textId="3A0C189D" w:rsidR="007E2864" w:rsidRDefault="007E2864" w:rsidP="007E2864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3E81E47F" w14:textId="77777777" w:rsidR="00DD560E" w:rsidRDefault="00DD560E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446C2F8" w14:textId="77777777" w:rsidR="00DD560E" w:rsidRDefault="00DD560E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073618B" w14:textId="77777777" w:rsidR="00DD560E" w:rsidRDefault="00DD560E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6FD88E2" w14:textId="77777777" w:rsidR="00DD560E" w:rsidRDefault="00DD560E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C01FB46" w14:textId="77777777" w:rsidR="00DD560E" w:rsidRDefault="00DD560E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A4F4ABD" w14:textId="57791AB2" w:rsidR="007E2864" w:rsidRPr="00562252" w:rsidRDefault="00DD560E" w:rsidP="007E2864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Олександр ЗЕМЛЯК</w:t>
            </w:r>
          </w:p>
        </w:tc>
      </w:tr>
    </w:tbl>
    <w:p w14:paraId="3FF2DA02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p w14:paraId="13582D0A" w14:textId="02190A6D" w:rsidR="00FF2729" w:rsidRDefault="00FF2729" w:rsidP="00FF2729">
      <w:pPr>
        <w:rPr>
          <w:snapToGrid w:val="0"/>
          <w:sz w:val="26"/>
          <w:szCs w:val="26"/>
          <w:lang w:val="uk-UA"/>
        </w:rPr>
      </w:pPr>
    </w:p>
    <w:p w14:paraId="6DE23455" w14:textId="578ABEFB" w:rsidR="00FF2729" w:rsidRDefault="00CD44D5" w:rsidP="00FF2729">
      <w:pPr>
        <w:rPr>
          <w:snapToGrid w:val="0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6544351D" w:rsidR="001057BA" w:rsidRPr="00CB7BE4" w:rsidRDefault="00DD560E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48179877" w:rsidR="00034DE5" w:rsidRPr="00DD560E" w:rsidRDefault="00DD560E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56466AA" w:rsidR="00CE371C" w:rsidRPr="00E80871" w:rsidRDefault="0081746A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о.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 w:rsidRPr="00E80871">
              <w:rPr>
                <w:sz w:val="28"/>
                <w:szCs w:val="28"/>
                <w:lang w:val="uk-UA" w:eastAsia="en-US"/>
              </w:rPr>
              <w:t>а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3D95E5F5" w14:textId="77777777" w:rsidR="0016164A" w:rsidRPr="000903E1" w:rsidRDefault="0016164A" w:rsidP="0016164A">
      <w:pPr>
        <w:rPr>
          <w:sz w:val="28"/>
          <w:szCs w:val="28"/>
          <w:lang w:val="uk-UA"/>
        </w:rPr>
      </w:pPr>
      <w:r w:rsidRPr="000903E1">
        <w:rPr>
          <w:sz w:val="28"/>
          <w:szCs w:val="28"/>
          <w:lang w:val="uk-UA"/>
        </w:rPr>
        <w:t>Постійна комісія Київської міської ради</w:t>
      </w:r>
    </w:p>
    <w:p w14:paraId="3AA3C990" w14:textId="77777777" w:rsidR="0016164A" w:rsidRPr="000903E1" w:rsidRDefault="0016164A" w:rsidP="0016164A">
      <w:pPr>
        <w:rPr>
          <w:sz w:val="28"/>
          <w:szCs w:val="28"/>
          <w:lang w:val="uk-UA"/>
        </w:rPr>
      </w:pPr>
      <w:r w:rsidRPr="000903E1">
        <w:rPr>
          <w:sz w:val="28"/>
          <w:szCs w:val="28"/>
          <w:lang w:val="uk-UA"/>
        </w:rPr>
        <w:t>з питань підприємництва, промисловості</w:t>
      </w:r>
    </w:p>
    <w:p w14:paraId="38785FD2" w14:textId="77777777" w:rsidR="0016164A" w:rsidRDefault="0016164A" w:rsidP="0016164A">
      <w:pPr>
        <w:rPr>
          <w:sz w:val="28"/>
          <w:szCs w:val="28"/>
          <w:lang w:val="uk-UA"/>
        </w:rPr>
      </w:pPr>
      <w:r w:rsidRPr="000903E1">
        <w:rPr>
          <w:sz w:val="28"/>
          <w:szCs w:val="28"/>
          <w:lang w:val="uk-UA"/>
        </w:rPr>
        <w:t>та міського благоустрою</w:t>
      </w:r>
    </w:p>
    <w:p w14:paraId="7D00D234" w14:textId="77777777" w:rsidR="0016164A" w:rsidRDefault="0016164A" w:rsidP="0016164A">
      <w:pPr>
        <w:rPr>
          <w:sz w:val="28"/>
          <w:szCs w:val="28"/>
          <w:lang w:val="uk-UA"/>
        </w:rPr>
      </w:pPr>
    </w:p>
    <w:p w14:paraId="238D09B5" w14:textId="77777777" w:rsidR="0016164A" w:rsidRPr="000903E1" w:rsidRDefault="0016164A" w:rsidP="001616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Владислав ТРУБІЦИН</w:t>
      </w:r>
    </w:p>
    <w:p w14:paraId="74BA1F1F" w14:textId="77777777" w:rsidR="0016164A" w:rsidRDefault="0016164A" w:rsidP="0016164A">
      <w:pPr>
        <w:rPr>
          <w:sz w:val="28"/>
          <w:szCs w:val="28"/>
          <w:lang w:val="uk-UA"/>
        </w:rPr>
      </w:pPr>
    </w:p>
    <w:p w14:paraId="2348D536" w14:textId="77777777" w:rsidR="0016164A" w:rsidRPr="005464BD" w:rsidRDefault="0016164A" w:rsidP="0016164A">
      <w:pPr>
        <w:rPr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                                Василь ПОТАПЕНКО</w:t>
      </w: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164A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66878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0955"/>
    <w:rsid w:val="00544E97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0571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23BE"/>
    <w:rsid w:val="006D60E0"/>
    <w:rsid w:val="0070153B"/>
    <w:rsid w:val="00704893"/>
    <w:rsid w:val="00710894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E2864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012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26E43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3E13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D560E"/>
    <w:rsid w:val="00DE7C30"/>
    <w:rsid w:val="00DF429D"/>
    <w:rsid w:val="00E03A44"/>
    <w:rsid w:val="00E111FB"/>
    <w:rsid w:val="00E2290F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iliya.pop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4610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Корнійчук Олеся Михайлівна</cp:lastModifiedBy>
  <cp:revision>2</cp:revision>
  <cp:lastPrinted>2023-01-04T14:28:00Z</cp:lastPrinted>
  <dcterms:created xsi:type="dcterms:W3CDTF">2023-01-09T13:05:00Z</dcterms:created>
  <dcterms:modified xsi:type="dcterms:W3CDTF">2023-01-09T13:05:00Z</dcterms:modified>
</cp:coreProperties>
</file>