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9C319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656133924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656133924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C3193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9C3193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193">
        <w:rPr>
          <w:b/>
          <w:bCs/>
          <w:i w:val="0"/>
          <w:iCs w:val="0"/>
          <w:sz w:val="24"/>
          <w:szCs w:val="24"/>
          <w:lang w:val="ru-RU"/>
        </w:rPr>
        <w:t xml:space="preserve">№ ПЗН-51625 </w:t>
      </w:r>
      <w:proofErr w:type="spellStart"/>
      <w:r w:rsidRPr="009C3193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9C3193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9C3193">
        <w:rPr>
          <w:b/>
          <w:bCs/>
          <w:i w:val="0"/>
          <w:sz w:val="24"/>
          <w:szCs w:val="24"/>
          <w:lang w:val="ru-RU"/>
        </w:rPr>
        <w:t>24.02.2023</w:t>
      </w:r>
    </w:p>
    <w:p w14:paraId="1B663883" w14:textId="77777777" w:rsidR="00B30291" w:rsidRPr="009C3193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9C3193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9C3193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9C319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9C3193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9C319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9C3193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9C319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9C3193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9C3193">
        <w:rPr>
          <w:i w:val="0"/>
          <w:iCs w:val="0"/>
          <w:sz w:val="24"/>
          <w:szCs w:val="24"/>
          <w:lang w:val="ru-RU"/>
        </w:rPr>
        <w:t xml:space="preserve"> ради</w:t>
      </w:r>
      <w:r w:rsidRPr="009C3193">
        <w:rPr>
          <w:i w:val="0"/>
          <w:sz w:val="24"/>
          <w:szCs w:val="24"/>
          <w:lang w:val="ru-RU"/>
        </w:rPr>
        <w:t>:</w:t>
      </w:r>
    </w:p>
    <w:p w14:paraId="0916C809" w14:textId="37256A87" w:rsidR="00B30291" w:rsidRPr="00581A44" w:rsidRDefault="009C3193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9C3193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C3193">
        <w:rPr>
          <w:rFonts w:eastAsia="Georgia"/>
          <w:b/>
          <w:i/>
          <w:iCs/>
          <w:sz w:val="24"/>
          <w:szCs w:val="24"/>
          <w:lang w:val="ru-RU"/>
        </w:rPr>
        <w:t>передачу</w:t>
      </w:r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C3193">
        <w:rPr>
          <w:rFonts w:eastAsia="Georgia"/>
          <w:b/>
          <w:i/>
          <w:iCs/>
          <w:sz w:val="24"/>
          <w:szCs w:val="24"/>
          <w:lang w:val="ru-RU"/>
        </w:rPr>
        <w:t>приватному</w:t>
      </w:r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акціонерному</w:t>
      </w:r>
      <w:proofErr w:type="spellEnd"/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товариству</w:t>
      </w:r>
      <w:proofErr w:type="spellEnd"/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Акціонерна</w:t>
      </w:r>
      <w:proofErr w:type="spellEnd"/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компанія</w:t>
      </w:r>
      <w:proofErr w:type="spellEnd"/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Київводоканал</w:t>
      </w:r>
      <w:proofErr w:type="spellEnd"/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» 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C3193">
        <w:rPr>
          <w:rFonts w:eastAsia="Georgia"/>
          <w:b/>
          <w:i/>
          <w:iCs/>
          <w:sz w:val="24"/>
          <w:szCs w:val="24"/>
          <w:lang w:val="ru-RU"/>
        </w:rPr>
        <w:t>в</w:t>
      </w:r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C3193">
        <w:rPr>
          <w:rFonts w:eastAsia="Georgia"/>
          <w:b/>
          <w:i/>
          <w:iCs/>
          <w:sz w:val="24"/>
          <w:szCs w:val="24"/>
          <w:lang w:val="ru-RU"/>
        </w:rPr>
        <w:t>для</w:t>
      </w:r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C3193">
        <w:rPr>
          <w:rFonts w:eastAsia="Georgia"/>
          <w:b/>
          <w:i/>
          <w:iCs/>
          <w:sz w:val="24"/>
          <w:szCs w:val="24"/>
          <w:lang w:val="ru-RU"/>
        </w:rPr>
        <w:t>та</w:t>
      </w:r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споруд</w:t>
      </w:r>
      <w:proofErr w:type="spellEnd"/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каналізаційної</w:t>
      </w:r>
      <w:proofErr w:type="spellEnd"/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насосної</w:t>
      </w:r>
      <w:proofErr w:type="spellEnd"/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станції</w:t>
      </w:r>
      <w:proofErr w:type="spellEnd"/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Микільська</w:t>
      </w:r>
      <w:proofErr w:type="spellEnd"/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C3193">
        <w:rPr>
          <w:rFonts w:eastAsia="Georgia"/>
          <w:b/>
          <w:i/>
          <w:iCs/>
          <w:sz w:val="24"/>
          <w:szCs w:val="24"/>
          <w:lang w:val="ru-RU"/>
        </w:rPr>
        <w:t>Борщагівка</w:t>
      </w:r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-2» </w:t>
      </w:r>
      <w:r w:rsidRPr="009C3193">
        <w:rPr>
          <w:rFonts w:eastAsia="Georgia"/>
          <w:b/>
          <w:i/>
          <w:iCs/>
          <w:sz w:val="24"/>
          <w:szCs w:val="24"/>
          <w:lang w:val="ru-RU"/>
        </w:rPr>
        <w:t>на</w:t>
      </w:r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2C6199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r w:rsidRPr="009C3193">
        <w:rPr>
          <w:rFonts w:eastAsia="Georgia"/>
          <w:b/>
          <w:i/>
          <w:iCs/>
          <w:sz w:val="24"/>
          <w:szCs w:val="24"/>
          <w:lang w:val="ru-RU"/>
        </w:rPr>
        <w:t xml:space="preserve">Зодчих, 1 у 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Pr="009C319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9C319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9C319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C3193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B76C53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9C3193">
        <w:trPr>
          <w:cantSplit/>
          <w:trHeight w:val="599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0A3EADF7" w:rsidR="00B30291" w:rsidRPr="009C3193" w:rsidRDefault="009C3193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п</w:t>
            </w:r>
            <w:r w:rsidRPr="009C3193">
              <w:rPr>
                <w:b w:val="0"/>
                <w:i/>
                <w:sz w:val="24"/>
                <w:szCs w:val="24"/>
                <w:lang w:val="ru-RU"/>
              </w:rPr>
              <w:t>риватне</w:t>
            </w:r>
            <w:proofErr w:type="spellEnd"/>
            <w:r w:rsidRPr="009C319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193">
              <w:rPr>
                <w:b w:val="0"/>
                <w:i/>
                <w:sz w:val="24"/>
                <w:szCs w:val="24"/>
                <w:lang w:val="ru-RU"/>
              </w:rPr>
              <w:t>акціонерне</w:t>
            </w:r>
            <w:proofErr w:type="spellEnd"/>
            <w:r w:rsidRPr="009C319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193">
              <w:rPr>
                <w:b w:val="0"/>
                <w:i/>
                <w:sz w:val="24"/>
                <w:szCs w:val="24"/>
                <w:lang w:val="ru-RU"/>
              </w:rPr>
              <w:t>товариство</w:t>
            </w:r>
            <w:proofErr w:type="spellEnd"/>
            <w:r w:rsidRPr="009C3193">
              <w:rPr>
                <w:b w:val="0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C3193">
              <w:rPr>
                <w:b w:val="0"/>
                <w:i/>
                <w:sz w:val="24"/>
                <w:szCs w:val="24"/>
                <w:lang w:val="ru-RU"/>
              </w:rPr>
              <w:t>Акціонерна</w:t>
            </w:r>
            <w:proofErr w:type="spellEnd"/>
            <w:r w:rsidRPr="009C319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193">
              <w:rPr>
                <w:b w:val="0"/>
                <w:i/>
                <w:sz w:val="24"/>
                <w:szCs w:val="24"/>
                <w:lang w:val="ru-RU"/>
              </w:rPr>
              <w:t>компанія</w:t>
            </w:r>
            <w:proofErr w:type="spellEnd"/>
            <w:r w:rsidRPr="009C3193">
              <w:rPr>
                <w:b w:val="0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C3193">
              <w:rPr>
                <w:b w:val="0"/>
                <w:i/>
                <w:sz w:val="24"/>
                <w:szCs w:val="24"/>
                <w:lang w:val="ru-RU"/>
              </w:rPr>
              <w:t>Київводоканал</w:t>
            </w:r>
            <w:proofErr w:type="spellEnd"/>
            <w:r w:rsidRPr="009C3193">
              <w:rPr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B30291" w:rsidRPr="00CF2418" w14:paraId="5DC74608" w14:textId="77777777" w:rsidTr="00B76C53">
        <w:trPr>
          <w:cantSplit/>
          <w:trHeight w:val="693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1FE0B7C6" w:rsidR="00B30291" w:rsidRPr="00AC6C1F" w:rsidRDefault="00D77F52" w:rsidP="009C3193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15C91214" w14:textId="148574DB" w:rsidR="00B30291" w:rsidRPr="009C3193" w:rsidRDefault="009C3193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9C3193">
              <w:rPr>
                <w:b w:val="0"/>
                <w:i/>
                <w:sz w:val="24"/>
                <w:szCs w:val="24"/>
              </w:rPr>
              <w:t>акціонери</w:t>
            </w:r>
            <w:proofErr w:type="spellEnd"/>
            <w:r w:rsidRPr="009C3193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C3193">
              <w:rPr>
                <w:b w:val="0"/>
                <w:i/>
                <w:sz w:val="24"/>
                <w:szCs w:val="24"/>
              </w:rPr>
              <w:t>згідно</w:t>
            </w:r>
            <w:proofErr w:type="spellEnd"/>
            <w:r>
              <w:rPr>
                <w:b w:val="0"/>
                <w:i/>
                <w:sz w:val="24"/>
                <w:szCs w:val="24"/>
                <w:lang w:val="uk-UA"/>
              </w:rPr>
              <w:t xml:space="preserve"> з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реєстром</w:t>
            </w:r>
            <w:proofErr w:type="spellEnd"/>
          </w:p>
        </w:tc>
      </w:tr>
      <w:tr w:rsidR="00B30291" w:rsidRPr="00CF2418" w14:paraId="18172CC5" w14:textId="77777777" w:rsidTr="00B76C53">
        <w:trPr>
          <w:cantSplit/>
          <w:trHeight w:val="702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413261FE" w:rsidR="00B30291" w:rsidRPr="00B76C53" w:rsidRDefault="00D77F52" w:rsidP="00B76C53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08214B81" w:rsidR="00B30291" w:rsidRPr="00AC6C1F" w:rsidRDefault="009C3193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b w:val="0"/>
                <w:i/>
                <w:sz w:val="24"/>
                <w:szCs w:val="24"/>
              </w:rPr>
              <w:t>в</w:t>
            </w:r>
            <w:r w:rsidR="00B30291" w:rsidRPr="00AC6C1F">
              <w:rPr>
                <w:b w:val="0"/>
                <w:i/>
                <w:sz w:val="24"/>
                <w:szCs w:val="24"/>
              </w:rPr>
              <w:t>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15.02.2023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656133924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B76C53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9C3193">
        <w:rPr>
          <w:sz w:val="24"/>
          <w:szCs w:val="24"/>
          <w:lang w:val="ru-RU"/>
        </w:rPr>
        <w:t>8000000000:75:318:0002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B76C53">
        <w:trPr>
          <w:trHeight w:hRule="exact" w:val="291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B76C53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</w:rPr>
            </w:pPr>
            <w:r w:rsidRPr="009C3193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9C3193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9C3193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9C3193">
              <w:rPr>
                <w:i/>
                <w:iCs/>
                <w:sz w:val="24"/>
                <w:szCs w:val="24"/>
                <w:lang w:val="ru-RU"/>
              </w:rPr>
              <w:t>Святошинський</w:t>
            </w:r>
            <w:proofErr w:type="spellEnd"/>
            <w:r w:rsidRPr="009C319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3193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9C3193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Зодчих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B76C53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0,6218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B76C53">
        <w:trPr>
          <w:trHeight w:hRule="exact" w:val="427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23A20852" w:rsidR="00B30291" w:rsidRPr="00AC6C1F" w:rsidRDefault="00581A44" w:rsidP="00B76C53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9C3193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B76C53">
              <w:rPr>
                <w:i/>
                <w:sz w:val="24"/>
                <w:szCs w:val="24"/>
                <w:lang w:val="ru-RU"/>
              </w:rPr>
              <w:t xml:space="preserve"> до 30.12.2033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B76C53">
        <w:trPr>
          <w:trHeight w:hRule="exact" w:val="918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FB09A07" w:rsidR="00B30291" w:rsidRPr="00AC6C1F" w:rsidRDefault="00B76C53" w:rsidP="00B76C53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землі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промисловості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, транспорту,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електронних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комунікацій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енергетики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, оборони та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іншого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B76C53">
        <w:trPr>
          <w:trHeight w:hRule="exact" w:val="1495"/>
        </w:trPr>
        <w:tc>
          <w:tcPr>
            <w:tcW w:w="3260" w:type="dxa"/>
            <w:shd w:val="clear" w:color="auto" w:fill="FFFFFF"/>
          </w:tcPr>
          <w:p w14:paraId="7E5AA3FD" w14:textId="509F3DB1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76C53" w:rsidRPr="002760E2">
              <w:rPr>
                <w:sz w:val="24"/>
                <w:szCs w:val="24"/>
                <w:lang w:val="uk-UA"/>
              </w:rPr>
              <w:t>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23FFC47D" w:rsidR="00B30291" w:rsidRPr="006A34C6" w:rsidRDefault="00265722" w:rsidP="00B76C53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9C3193">
              <w:rPr>
                <w:i/>
                <w:sz w:val="24"/>
                <w:szCs w:val="24"/>
                <w:highlight w:val="white"/>
                <w:lang w:val="uk-UA"/>
              </w:rPr>
              <w:t>11.04</w:t>
            </w:r>
            <w:r w:rsidRPr="009C3193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  <w:p w14:paraId="47F56579" w14:textId="77777777" w:rsidR="00A318A9" w:rsidRPr="009C3193" w:rsidRDefault="00A318A9" w:rsidP="00B76C53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9C3193" w:rsidRDefault="00A318A9" w:rsidP="00B76C53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9C3193" w:rsidRDefault="00A318A9" w:rsidP="00B76C53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9C3193" w:rsidRDefault="00A318A9" w:rsidP="00B76C53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9C3193" w:rsidRDefault="00A318A9" w:rsidP="00B76C53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9C3193" w:rsidRDefault="00A318A9" w:rsidP="00B76C53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9C3193" w:rsidRDefault="00A318A9" w:rsidP="00B76C53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9C3193" w:rsidRDefault="00A318A9" w:rsidP="00B76C53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9C3193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6C597109" w:rsidR="00B30291" w:rsidRPr="008F240B" w:rsidRDefault="00B30291" w:rsidP="00B76C53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76C53">
              <w:rPr>
                <w:rStyle w:val="ac"/>
                <w:b/>
                <w:sz w:val="24"/>
                <w:szCs w:val="24"/>
                <w:lang w:val="ru-RU"/>
              </w:rPr>
              <w:t xml:space="preserve">7 271 230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B76C53">
              <w:rPr>
                <w:rStyle w:val="ac"/>
                <w:b/>
                <w:sz w:val="24"/>
                <w:szCs w:val="24"/>
                <w:lang w:val="uk-UA"/>
              </w:rPr>
              <w:t>99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543DFB07" w14:textId="77777777" w:rsidR="00B76C53" w:rsidRPr="00265722" w:rsidRDefault="00B76C53" w:rsidP="00860DAE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68D42A5C" w14:textId="77777777" w:rsidR="00B76C53" w:rsidRDefault="00B76C53" w:rsidP="00860DAE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</w:t>
      </w:r>
      <w:r w:rsidRPr="00964532">
        <w:rPr>
          <w:i w:val="0"/>
          <w:sz w:val="24"/>
          <w:szCs w:val="24"/>
          <w:lang w:val="uk-UA"/>
        </w:rPr>
        <w:t xml:space="preserve">розроблено </w:t>
      </w:r>
      <w:proofErr w:type="spellStart"/>
      <w:r w:rsidRPr="00964532">
        <w:rPr>
          <w:i w:val="0"/>
          <w:sz w:val="24"/>
          <w:szCs w:val="24"/>
          <w:lang w:val="uk-UA"/>
        </w:rPr>
        <w:t>проєкт</w:t>
      </w:r>
      <w:proofErr w:type="spellEnd"/>
      <w:r w:rsidRPr="00964532">
        <w:rPr>
          <w:sz w:val="24"/>
          <w:szCs w:val="24"/>
          <w:lang w:val="uk-UA"/>
        </w:rPr>
        <w:t xml:space="preserve"> </w:t>
      </w:r>
      <w:r w:rsidRPr="00964532">
        <w:rPr>
          <w:i w:val="0"/>
          <w:sz w:val="24"/>
          <w:szCs w:val="24"/>
          <w:lang w:val="uk-UA"/>
        </w:rPr>
        <w:t>землеустрою щодо відведення земельної ділянки</w:t>
      </w:r>
      <w:r>
        <w:rPr>
          <w:i w:val="0"/>
          <w:sz w:val="24"/>
          <w:szCs w:val="24"/>
          <w:lang w:val="uk-UA"/>
        </w:rPr>
        <w:t>, який</w:t>
      </w:r>
      <w:r w:rsidRPr="00265722">
        <w:rPr>
          <w:i w:val="0"/>
          <w:sz w:val="24"/>
          <w:szCs w:val="24"/>
          <w:lang w:val="uk-UA"/>
        </w:rPr>
        <w:t xml:space="preserve"> згідно </w:t>
      </w:r>
      <w:r>
        <w:rPr>
          <w:i w:val="0"/>
          <w:sz w:val="24"/>
          <w:szCs w:val="24"/>
          <w:lang w:val="uk-UA"/>
        </w:rPr>
        <w:t>зі</w:t>
      </w:r>
      <w:r w:rsidRPr="00265722">
        <w:rPr>
          <w:i w:val="0"/>
          <w:sz w:val="24"/>
          <w:szCs w:val="24"/>
          <w:lang w:val="uk-UA"/>
        </w:rPr>
        <w:t xml:space="preserve"> </w:t>
      </w:r>
      <w:r w:rsidRPr="0044549F">
        <w:rPr>
          <w:i w:val="0"/>
          <w:sz w:val="24"/>
          <w:szCs w:val="24"/>
          <w:lang w:val="uk-UA"/>
        </w:rPr>
        <w:t>статтею 186¹ Земельного кодексу України (в редакції до 27.05.2021) погоджена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B76C53" w14:paraId="0C84EA11" w14:textId="77777777" w:rsidTr="005312BE">
        <w:trPr>
          <w:trHeight w:val="1004"/>
        </w:trPr>
        <w:tc>
          <w:tcPr>
            <w:tcW w:w="5098" w:type="dxa"/>
          </w:tcPr>
          <w:p w14:paraId="2E69FE10" w14:textId="77777777" w:rsidR="00B76C53" w:rsidRPr="000F70DA" w:rsidRDefault="00B76C53" w:rsidP="00B76C53">
            <w:pPr>
              <w:rPr>
                <w:rFonts w:ascii="Times New Roman" w:hAnsi="Times New Roman" w:cs="Times New Roman"/>
                <w:color w:val="333333"/>
                <w:sz w:val="16"/>
                <w:shd w:val="clear" w:color="auto" w:fill="FFFFFF"/>
              </w:rPr>
            </w:pPr>
          </w:p>
          <w:p w14:paraId="33448235" w14:textId="77777777" w:rsidR="00B76C53" w:rsidRPr="00D57CE8" w:rsidRDefault="00B76C53" w:rsidP="00B76C5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структурний підрозділ Київської </w:t>
            </w:r>
          </w:p>
          <w:p w14:paraId="6643EF49" w14:textId="77777777" w:rsidR="00B76C53" w:rsidRPr="00D57CE8" w:rsidRDefault="00B76C53" w:rsidP="00B76C5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міської державної адміністрації </w:t>
            </w:r>
          </w:p>
          <w:p w14:paraId="573FC106" w14:textId="5B9F805A" w:rsidR="005312BE" w:rsidRPr="001D3A82" w:rsidRDefault="00B76C53" w:rsidP="00B76C53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 сфері містобудування та архітектури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43DCE689" w14:textId="0E23BEFE" w:rsidR="00B76C53" w:rsidRDefault="00B76C53" w:rsidP="005312BE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B2439C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B2439C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="005312BE">
              <w:rPr>
                <w:b/>
                <w:sz w:val="24"/>
                <w:szCs w:val="24"/>
                <w:lang w:val="ru-RU"/>
              </w:rPr>
              <w:t>4</w:t>
            </w:r>
            <w:r w:rsidR="005312BE">
              <w:rPr>
                <w:b/>
                <w:sz w:val="24"/>
                <w:szCs w:val="24"/>
                <w:lang w:val="uk-UA"/>
              </w:rPr>
              <w:t>.10.2019</w:t>
            </w:r>
            <w:r w:rsidRPr="00B2439C">
              <w:rPr>
                <w:b/>
                <w:sz w:val="24"/>
                <w:szCs w:val="24"/>
                <w:lang w:val="ru-RU"/>
              </w:rPr>
              <w:t xml:space="preserve"> №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5312BE">
              <w:rPr>
                <w:b/>
                <w:sz w:val="24"/>
                <w:szCs w:val="24"/>
                <w:lang w:val="ru-RU"/>
              </w:rPr>
              <w:t>10717</w:t>
            </w:r>
            <w:r>
              <w:rPr>
                <w:b/>
                <w:sz w:val="24"/>
                <w:szCs w:val="24"/>
                <w:lang w:val="ru-RU"/>
              </w:rPr>
              <w:t>/0/0</w:t>
            </w:r>
            <w:r w:rsidR="005312BE">
              <w:rPr>
                <w:b/>
                <w:sz w:val="24"/>
                <w:szCs w:val="24"/>
                <w:lang w:val="ru-RU"/>
              </w:rPr>
              <w:t>12/09-19</w:t>
            </w:r>
          </w:p>
        </w:tc>
      </w:tr>
      <w:tr w:rsidR="00B76C53" w14:paraId="497C9AA4" w14:textId="77777777" w:rsidTr="00860DAE">
        <w:tc>
          <w:tcPr>
            <w:tcW w:w="5098" w:type="dxa"/>
          </w:tcPr>
          <w:p w14:paraId="675504A3" w14:textId="77777777" w:rsidR="005312BE" w:rsidRDefault="005312BE" w:rsidP="00B76C5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62144EE9" w14:textId="30D7F169" w:rsidR="00B76C53" w:rsidRPr="006E1056" w:rsidRDefault="00B76C53" w:rsidP="00B76C5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територіальний орган центрального органу виконавчої влади, що реалізує державну політику у сфері земельних відносин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</w:t>
            </w: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екстериторіальне погодження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40243E73" w14:textId="6D665DDA" w:rsidR="00B76C53" w:rsidRDefault="00B76C53" w:rsidP="005312BE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6E1056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6E1056">
              <w:rPr>
                <w:b/>
                <w:sz w:val="24"/>
                <w:szCs w:val="24"/>
                <w:lang w:val="ru-RU"/>
              </w:rPr>
              <w:t xml:space="preserve"> </w:t>
            </w:r>
            <w:r w:rsidR="005312BE">
              <w:rPr>
                <w:b/>
                <w:sz w:val="24"/>
                <w:szCs w:val="24"/>
                <w:lang w:val="uk-UA"/>
              </w:rPr>
              <w:t>25.10.2019</w:t>
            </w:r>
            <w:r w:rsidRPr="006E1056">
              <w:rPr>
                <w:b/>
                <w:sz w:val="24"/>
                <w:szCs w:val="24"/>
                <w:lang w:val="ru-RU"/>
              </w:rPr>
              <w:t xml:space="preserve"> №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5312BE">
              <w:rPr>
                <w:b/>
                <w:sz w:val="24"/>
                <w:szCs w:val="24"/>
                <w:lang w:val="ru-RU"/>
              </w:rPr>
              <w:t>11551</w:t>
            </w:r>
            <w:r>
              <w:rPr>
                <w:b/>
                <w:sz w:val="24"/>
                <w:szCs w:val="24"/>
                <w:lang w:val="ru-RU"/>
              </w:rPr>
              <w:t>/82-</w:t>
            </w:r>
            <w:r w:rsidR="005312BE">
              <w:rPr>
                <w:b/>
                <w:sz w:val="24"/>
                <w:szCs w:val="24"/>
                <w:lang w:val="ru-RU"/>
              </w:rPr>
              <w:t>19</w:t>
            </w:r>
          </w:p>
        </w:tc>
      </w:tr>
    </w:tbl>
    <w:p w14:paraId="4C456FC0" w14:textId="77777777" w:rsidR="00B76C53" w:rsidRPr="00C40F12" w:rsidRDefault="00B76C53" w:rsidP="00860DAE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10"/>
          <w:szCs w:val="24"/>
          <w:lang w:val="uk-UA"/>
        </w:rPr>
      </w:pPr>
    </w:p>
    <w:p w14:paraId="1EDD015A" w14:textId="77777777" w:rsidR="00B76C53" w:rsidRDefault="00B76C53" w:rsidP="00860DAE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lastRenderedPageBreak/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1F89A30D" w14:textId="77777777" w:rsidR="00B76C53" w:rsidRDefault="00B76C53" w:rsidP="00860DAE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7E40FCE4" w14:textId="77777777" w:rsidR="00B76C53" w:rsidRPr="00E679AD" w:rsidRDefault="00B76C53" w:rsidP="00860DAE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E32A87F" w14:textId="77777777" w:rsidR="00B76C53" w:rsidRPr="00B30291" w:rsidRDefault="00B76C53" w:rsidP="00860DAE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1876D8BF" w14:textId="77777777" w:rsidR="00B76C53" w:rsidRPr="00344140" w:rsidRDefault="00B76C53" w:rsidP="00860DAE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2265CB3D" w14:textId="77777777" w:rsidR="00B76C53" w:rsidRPr="00C7476E" w:rsidRDefault="00B76C53" w:rsidP="00B76C53">
      <w:pPr>
        <w:pStyle w:val="a7"/>
        <w:shd w:val="clear" w:color="auto" w:fill="auto"/>
        <w:ind w:firstLine="567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65000D96" w14:textId="7365536E" w:rsidR="005312BE" w:rsidRDefault="00B30291" w:rsidP="005312B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5312BE">
              <w:rPr>
                <w:rFonts w:ascii="Times New Roman" w:eastAsia="Times New Roman" w:hAnsi="Times New Roman" w:cs="Times New Roman"/>
                <w:i/>
              </w:rPr>
              <w:t xml:space="preserve"> комплексом будівель</w:t>
            </w:r>
            <w:r w:rsidR="00D64B3A">
              <w:rPr>
                <w:rFonts w:ascii="Times New Roman" w:eastAsia="Times New Roman" w:hAnsi="Times New Roman" w:cs="Times New Roman"/>
                <w:i/>
              </w:rPr>
              <w:t>, а саме</w:t>
            </w:r>
            <w:r w:rsidR="005312BE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14:paraId="6D220704" w14:textId="5CBEC546" w:rsidR="005312BE" w:rsidRDefault="005312BE" w:rsidP="005312B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="00686E7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насосна станція - літ. «Г», площею 1102,5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</w:t>
            </w:r>
          </w:p>
          <w:p w14:paraId="619763C3" w14:textId="3D9C8825" w:rsidR="005312BE" w:rsidRDefault="005312BE" w:rsidP="005312B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="00686E7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64B3A">
              <w:rPr>
                <w:rFonts w:ascii="Times New Roman" w:eastAsia="Times New Roman" w:hAnsi="Times New Roman" w:cs="Times New Roman"/>
                <w:i/>
              </w:rPr>
              <w:t>будівля виробнича ТП-2740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- літ. «Д», площею </w:t>
            </w:r>
            <w:r w:rsidR="00D64B3A">
              <w:rPr>
                <w:rFonts w:ascii="Times New Roman" w:eastAsia="Times New Roman" w:hAnsi="Times New Roman" w:cs="Times New Roman"/>
                <w:i/>
              </w:rPr>
              <w:t>63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="00D64B3A">
              <w:rPr>
                <w:rFonts w:ascii="Times New Roman" w:eastAsia="Times New Roman" w:hAnsi="Times New Roman" w:cs="Times New Roman"/>
                <w:i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</w:t>
            </w:r>
          </w:p>
          <w:p w14:paraId="42AA3D49" w14:textId="74A1DDE3" w:rsidR="005312BE" w:rsidRDefault="005312BE" w:rsidP="005312B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="00686E7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64B3A">
              <w:rPr>
                <w:rFonts w:ascii="Times New Roman" w:eastAsia="Times New Roman" w:hAnsi="Times New Roman" w:cs="Times New Roman"/>
                <w:i/>
              </w:rPr>
              <w:t xml:space="preserve">будівля виробнича ТП-2740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- літ. «Ж», площею </w:t>
            </w:r>
            <w:r w:rsidR="00D64B3A">
              <w:rPr>
                <w:rFonts w:ascii="Times New Roman" w:eastAsia="Times New Roman" w:hAnsi="Times New Roman" w:cs="Times New Roman"/>
                <w:i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="00D64B3A">
              <w:rPr>
                <w:rFonts w:ascii="Times New Roman" w:eastAsia="Times New Roman" w:hAnsi="Times New Roman" w:cs="Times New Roman"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</w:t>
            </w:r>
          </w:p>
          <w:p w14:paraId="5C0BB8BA" w14:textId="77381881" w:rsidR="00B30291" w:rsidRDefault="005312BE" w:rsidP="00AB0BD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="00686E7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64B3A">
              <w:rPr>
                <w:rFonts w:ascii="Times New Roman" w:eastAsia="Times New Roman" w:hAnsi="Times New Roman" w:cs="Times New Roman"/>
                <w:i/>
              </w:rPr>
              <w:t xml:space="preserve">будівля виробнича котельня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- літ. «З», площею </w:t>
            </w:r>
            <w:r w:rsidR="00D64B3A">
              <w:rPr>
                <w:rFonts w:ascii="Times New Roman" w:eastAsia="Times New Roman" w:hAnsi="Times New Roman" w:cs="Times New Roman"/>
                <w:i/>
              </w:rPr>
              <w:t>197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="00D64B3A">
              <w:rPr>
                <w:rFonts w:ascii="Times New Roman" w:eastAsia="Times New Roman" w:hAnsi="Times New Roman" w:cs="Times New Roman"/>
                <w:i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(реєстраційний номер об’єкта нерухомого майна: </w:t>
            </w:r>
            <w:r>
              <w:rPr>
                <w:rFonts w:ascii="Times New Roman" w:eastAsia="Times New Roman" w:hAnsi="Times New Roman" w:cs="Times New Roman"/>
                <w:i/>
              </w:rPr>
              <w:t>1092646580000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загальною площею 1384,7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на </w:t>
            </w:r>
            <w:r w:rsidR="002C6199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вул. Зодчих, будинок 1, які є власністю 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 xml:space="preserve">територіальної громади міста Києва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 особі Київської міської ради 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>та</w:t>
            </w:r>
            <w:r w:rsidR="00AB0BD9">
              <w:rPr>
                <w:rFonts w:ascii="Times New Roman" w:eastAsia="Times New Roman" w:hAnsi="Times New Roman" w:cs="Times New Roman"/>
                <w:i/>
              </w:rPr>
              <w:t xml:space="preserve"> належать ПрАТ </w:t>
            </w:r>
            <w:r w:rsidR="00AB0BD9" w:rsidRPr="00AB0BD9">
              <w:rPr>
                <w:rFonts w:ascii="Times New Roman" w:eastAsia="Times New Roman" w:hAnsi="Times New Roman" w:cs="Times New Roman"/>
                <w:i/>
              </w:rPr>
              <w:t>«Акціонерна компанія «Київводоканал»</w:t>
            </w:r>
            <w:r w:rsidR="00AB0BD9">
              <w:rPr>
                <w:rFonts w:ascii="Times New Roman" w:eastAsia="Times New Roman" w:hAnsi="Times New Roman" w:cs="Times New Roman"/>
                <w:i/>
              </w:rPr>
              <w:t xml:space="preserve"> н</w:t>
            </w:r>
            <w:r w:rsidR="00AB0BD9" w:rsidRPr="00AB0BD9">
              <w:rPr>
                <w:rFonts w:ascii="Times New Roman" w:eastAsia="Times New Roman" w:hAnsi="Times New Roman" w:cs="Times New Roman"/>
                <w:i/>
              </w:rPr>
              <w:t>а праві володіння та користування майном відповідно до договору на володіння та користування майном територіал</w:t>
            </w:r>
            <w:r w:rsidR="00AB0BD9">
              <w:rPr>
                <w:rFonts w:ascii="Times New Roman" w:eastAsia="Times New Roman" w:hAnsi="Times New Roman" w:cs="Times New Roman"/>
                <w:i/>
              </w:rPr>
              <w:t>ьної громади міста Києва від 01.12.</w:t>
            </w:r>
            <w:r w:rsidR="00AB0BD9" w:rsidRPr="00AB0BD9">
              <w:rPr>
                <w:rFonts w:ascii="Times New Roman" w:eastAsia="Times New Roman" w:hAnsi="Times New Roman" w:cs="Times New Roman"/>
                <w:i/>
              </w:rPr>
              <w:t>2006 (в новій редакції угоди про п</w:t>
            </w:r>
            <w:r w:rsidR="00AB0BD9">
              <w:rPr>
                <w:rFonts w:ascii="Times New Roman" w:eastAsia="Times New Roman" w:hAnsi="Times New Roman" w:cs="Times New Roman"/>
                <w:i/>
              </w:rPr>
              <w:t>ередачу майна, укладеної                 20.11.</w:t>
            </w:r>
            <w:r w:rsidR="00AB0BD9" w:rsidRPr="00AB0BD9">
              <w:rPr>
                <w:rFonts w:ascii="Times New Roman" w:eastAsia="Times New Roman" w:hAnsi="Times New Roman" w:cs="Times New Roman"/>
                <w:i/>
              </w:rPr>
              <w:t xml:space="preserve">2003) та зі змінами </w:t>
            </w:r>
            <w:r w:rsidR="002C6199">
              <w:rPr>
                <w:rFonts w:ascii="Times New Roman" w:eastAsia="Times New Roman" w:hAnsi="Times New Roman" w:cs="Times New Roman"/>
                <w:i/>
              </w:rPr>
              <w:t>і</w:t>
            </w:r>
            <w:r w:rsidR="00AB0BD9" w:rsidRPr="00AB0BD9">
              <w:rPr>
                <w:rFonts w:ascii="Times New Roman" w:eastAsia="Times New Roman" w:hAnsi="Times New Roman" w:cs="Times New Roman"/>
                <w:i/>
              </w:rPr>
              <w:t xml:space="preserve"> доповненнями до нього відповідно до до</w:t>
            </w:r>
            <w:r w:rsidR="00AB0BD9">
              <w:rPr>
                <w:rFonts w:ascii="Times New Roman" w:eastAsia="Times New Roman" w:hAnsi="Times New Roman" w:cs="Times New Roman"/>
                <w:i/>
              </w:rPr>
              <w:t>даткових угод № 1 та № 4 від 03.09.</w:t>
            </w:r>
            <w:r w:rsidR="00AB0BD9" w:rsidRPr="00AB0BD9">
              <w:rPr>
                <w:rFonts w:ascii="Times New Roman" w:eastAsia="Times New Roman" w:hAnsi="Times New Roman" w:cs="Times New Roman"/>
                <w:i/>
              </w:rPr>
              <w:t xml:space="preserve">2007 </w:t>
            </w:r>
            <w:r w:rsidR="00AB0BD9">
              <w:rPr>
                <w:rFonts w:ascii="Times New Roman" w:eastAsia="Times New Roman" w:hAnsi="Times New Roman" w:cs="Times New Roman"/>
                <w:i/>
              </w:rPr>
              <w:t>та від 21.12.</w:t>
            </w:r>
            <w:r w:rsidR="00AB0BD9" w:rsidRPr="00AB0BD9">
              <w:rPr>
                <w:rFonts w:ascii="Times New Roman" w:eastAsia="Times New Roman" w:hAnsi="Times New Roman" w:cs="Times New Roman"/>
                <w:i/>
              </w:rPr>
              <w:t>2017 (право володіння та користування майном зареєстровано в Державному реєстрі ре</w:t>
            </w:r>
            <w:r w:rsidR="00AB0BD9">
              <w:rPr>
                <w:rFonts w:ascii="Times New Roman" w:eastAsia="Times New Roman" w:hAnsi="Times New Roman" w:cs="Times New Roman"/>
                <w:i/>
              </w:rPr>
              <w:t>чових прав на нерухоме майно 30.08.</w:t>
            </w:r>
            <w:r w:rsidR="00AB0BD9" w:rsidRPr="00AB0BD9">
              <w:rPr>
                <w:rFonts w:ascii="Times New Roman" w:eastAsia="Times New Roman" w:hAnsi="Times New Roman" w:cs="Times New Roman"/>
                <w:i/>
              </w:rPr>
              <w:t>2022, номер запису про інше речове право: 47778564)</w:t>
            </w:r>
            <w:r w:rsidR="00AB0BD9" w:rsidRPr="00302B1F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 Державного реєстру речо</w:t>
            </w:r>
            <w:r w:rsidR="00AB0BD9">
              <w:rPr>
                <w:rFonts w:ascii="Times New Roman" w:eastAsia="Times New Roman" w:hAnsi="Times New Roman" w:cs="Times New Roman"/>
                <w:i/>
              </w:rPr>
              <w:t>вих прав на нерухоме майно від 15.02</w:t>
            </w:r>
            <w:r w:rsidR="00AB0BD9" w:rsidRPr="00302B1F">
              <w:rPr>
                <w:rFonts w:ascii="Times New Roman" w:eastAsia="Times New Roman" w:hAnsi="Times New Roman" w:cs="Times New Roman"/>
                <w:i/>
              </w:rPr>
              <w:t>.202</w:t>
            </w:r>
            <w:r w:rsidR="00AB0BD9">
              <w:rPr>
                <w:rFonts w:ascii="Times New Roman" w:eastAsia="Times New Roman" w:hAnsi="Times New Roman" w:cs="Times New Roman"/>
                <w:i/>
              </w:rPr>
              <w:t>3</w:t>
            </w:r>
            <w:r w:rsidR="00AB0BD9" w:rsidRPr="00302B1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B0BD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B0BD9" w:rsidRPr="00302B1F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AB0BD9">
              <w:rPr>
                <w:rFonts w:ascii="Times New Roman" w:eastAsia="Times New Roman" w:hAnsi="Times New Roman" w:cs="Times New Roman"/>
                <w:i/>
              </w:rPr>
              <w:t>322906940</w:t>
            </w:r>
            <w:r w:rsidR="00AB0BD9" w:rsidRPr="00302B1F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5B38E957" w14:textId="77777777" w:rsidR="00AB0BD9" w:rsidRPr="00AB0BD9" w:rsidRDefault="00AB0BD9" w:rsidP="00AB0BD9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268A8E7B" w14:textId="6E2993B1" w:rsidR="00AB0BD9" w:rsidRPr="00F336A8" w:rsidRDefault="00AB0BD9" w:rsidP="00AB0BD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Також на ділянці розташовані некапітальні металеві споруди та навіси, побудовані господарським способом за власні кошти ПрАТ </w:t>
            </w:r>
            <w:r w:rsidRPr="00AB0BD9">
              <w:rPr>
                <w:rFonts w:ascii="Times New Roman" w:eastAsia="Times New Roman" w:hAnsi="Times New Roman" w:cs="Times New Roman"/>
                <w:i/>
              </w:rPr>
              <w:t>«Акціонерна компанія «Київводоканал»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9DEE27E" w14:textId="77777777" w:rsidTr="0006710E">
        <w:trPr>
          <w:cantSplit/>
          <w:trHeight w:val="114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6A854F3D" w:rsidR="00B30291" w:rsidRPr="0006710E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06710E">
        <w:trPr>
          <w:cantSplit/>
          <w:trHeight w:val="1379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4BA8ECDA" w:rsidR="00B30291" w:rsidRPr="00F336A8" w:rsidRDefault="00B30291" w:rsidP="002C619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370/1804, земельна ділянка за функціон</w:t>
            </w:r>
            <w:r w:rsidR="0006710E">
              <w:rPr>
                <w:rFonts w:ascii="Times New Roman" w:eastAsia="Times New Roman" w:hAnsi="Times New Roman" w:cs="Times New Roman"/>
                <w:i/>
              </w:rPr>
              <w:t>альним призначенням належить до т</w:t>
            </w:r>
            <w:r w:rsidR="0006710E" w:rsidRPr="0006710E">
              <w:rPr>
                <w:rFonts w:ascii="Times New Roman" w:eastAsia="Times New Roman" w:hAnsi="Times New Roman" w:cs="Times New Roman"/>
                <w:i/>
              </w:rPr>
              <w:t>ериторії комунально-складськ</w:t>
            </w:r>
            <w:r w:rsidR="002C6199">
              <w:rPr>
                <w:rFonts w:ascii="Times New Roman" w:eastAsia="Times New Roman" w:hAnsi="Times New Roman" w:cs="Times New Roman"/>
                <w:i/>
              </w:rPr>
              <w:t>ої</w:t>
            </w:r>
            <w:r w:rsidR="0006710E" w:rsidRPr="0006710E">
              <w:rPr>
                <w:rFonts w:ascii="Times New Roman" w:eastAsia="Times New Roman" w:hAnsi="Times New Roman" w:cs="Times New Roman"/>
                <w:i/>
              </w:rPr>
              <w:t xml:space="preserve"> (існуючі)</w:t>
            </w:r>
            <w:r w:rsidR="0006710E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0D6A7730" w:rsidR="00B30291" w:rsidRPr="0006710E" w:rsidRDefault="0006710E" w:rsidP="0006710E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F300A">
              <w:rPr>
                <w:rFonts w:ascii="Times New Roman" w:hAnsi="Times New Roman" w:cs="Times New Roman"/>
                <w:bCs/>
                <w:i/>
              </w:rPr>
              <w:t xml:space="preserve"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№ 1583/1624,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частина </w:t>
            </w:r>
            <w:r w:rsidRPr="007F300A">
              <w:rPr>
                <w:rFonts w:ascii="Times New Roman" w:hAnsi="Times New Roman" w:cs="Times New Roman"/>
                <w:bCs/>
                <w:i/>
              </w:rPr>
              <w:t>земельн</w:t>
            </w:r>
            <w:r>
              <w:rPr>
                <w:rFonts w:ascii="Times New Roman" w:hAnsi="Times New Roman" w:cs="Times New Roman"/>
                <w:bCs/>
                <w:i/>
              </w:rPr>
              <w:t>ої</w:t>
            </w:r>
            <w:r w:rsidRPr="007F300A">
              <w:rPr>
                <w:rFonts w:ascii="Times New Roman" w:hAnsi="Times New Roman" w:cs="Times New Roman"/>
                <w:bCs/>
                <w:i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ілянки входить до зеленої зони </w:t>
            </w:r>
            <w:r w:rsidRPr="007F300A">
              <w:rPr>
                <w:rFonts w:ascii="Times New Roman" w:hAnsi="Times New Roman" w:cs="Times New Roman"/>
                <w:bCs/>
                <w:i/>
              </w:rPr>
              <w:t xml:space="preserve">(таблиця 2, Озеленені території загального користування м. Києва, що відповідають типологічним ознакам та планувальним вимогам, </w:t>
            </w:r>
            <w:r w:rsidRPr="0006710E">
              <w:rPr>
                <w:rFonts w:ascii="Times New Roman" w:hAnsi="Times New Roman" w:cs="Times New Roman"/>
                <w:bCs/>
                <w:i/>
              </w:rPr>
              <w:t xml:space="preserve">Святошинський </w:t>
            </w:r>
            <w:r w:rsidRPr="007F300A">
              <w:rPr>
                <w:rFonts w:ascii="Times New Roman" w:hAnsi="Times New Roman" w:cs="Times New Roman"/>
                <w:bCs/>
                <w:i/>
              </w:rPr>
              <w:t xml:space="preserve">район, </w:t>
            </w:r>
            <w:r>
              <w:rPr>
                <w:rFonts w:ascii="Times New Roman" w:hAnsi="Times New Roman" w:cs="Times New Roman"/>
                <w:bCs/>
                <w:i/>
              </w:rPr>
              <w:t>сквери</w:t>
            </w:r>
            <w:r w:rsidRPr="007F300A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позиція 36, </w:t>
            </w:r>
            <w:r w:rsidRPr="007F300A">
              <w:rPr>
                <w:rFonts w:ascii="Times New Roman" w:hAnsi="Times New Roman" w:cs="Times New Roman"/>
                <w:bCs/>
                <w:i/>
              </w:rPr>
              <w:t>«</w:t>
            </w:r>
            <w:r>
              <w:rPr>
                <w:rFonts w:ascii="Times New Roman" w:hAnsi="Times New Roman" w:cs="Times New Roman"/>
                <w:bCs/>
                <w:i/>
              </w:rPr>
              <w:t>б</w:t>
            </w:r>
            <w:r w:rsidRPr="0006710E">
              <w:rPr>
                <w:rFonts w:ascii="Times New Roman" w:hAnsi="Times New Roman" w:cs="Times New Roman"/>
                <w:bCs/>
                <w:i/>
              </w:rPr>
              <w:t xml:space="preserve">іля водоймища на </w:t>
            </w:r>
            <w:proofErr w:type="spellStart"/>
            <w:r w:rsidRPr="0006710E">
              <w:rPr>
                <w:rFonts w:ascii="Times New Roman" w:hAnsi="Times New Roman" w:cs="Times New Roman"/>
                <w:bCs/>
                <w:i/>
              </w:rPr>
              <w:t>Півд</w:t>
            </w:r>
            <w:proofErr w:type="spellEnd"/>
            <w:r w:rsidRPr="0006710E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proofErr w:type="spellStart"/>
            <w:r w:rsidRPr="0006710E">
              <w:rPr>
                <w:rFonts w:ascii="Times New Roman" w:hAnsi="Times New Roman" w:cs="Times New Roman"/>
                <w:bCs/>
                <w:i/>
              </w:rPr>
              <w:t>Борщагівц</w:t>
            </w:r>
            <w:r>
              <w:rPr>
                <w:rFonts w:ascii="Times New Roman" w:hAnsi="Times New Roman" w:cs="Times New Roman"/>
                <w:bCs/>
                <w:i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>»)</w:t>
            </w:r>
            <w:r w:rsidRPr="007F300A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5AA8A06" w14:textId="7E1E6275" w:rsidR="00F012A7" w:rsidRDefault="00C80AE3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C80AE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C80AE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</w:t>
            </w:r>
            <w:r w:rsidR="00AB0BD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ередбачено передати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ПрАТ </w:t>
            </w:r>
            <w:r w:rsidRPr="00AB0BD9">
              <w:rPr>
                <w:rFonts w:ascii="Times New Roman" w:eastAsia="Times New Roman" w:hAnsi="Times New Roman" w:cs="Times New Roman"/>
                <w:i/>
              </w:rPr>
              <w:t>«Акціонерна компанія «Київводоканал»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земельну ділянку </w:t>
            </w:r>
            <w:r w:rsidR="00AB0BD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 оренду до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30.12.2033 у зв’язку із умовами дії договору на володіння та користуванням майном від 01.12.2006 (зі змінами</w:t>
            </w:r>
            <w:r w:rsidR="0034516D">
              <w:t xml:space="preserve"> </w:t>
            </w:r>
            <w:r w:rsidR="0034516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до нього відповідно до додаткової </w:t>
            </w:r>
            <w:r w:rsidR="0034516D" w:rsidRPr="0034516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угод</w:t>
            </w:r>
            <w:r w:rsidR="0034516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</w:t>
            </w:r>
            <w:r w:rsidR="0034516D" w:rsidRPr="0034516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№ 4 </w:t>
            </w:r>
            <w:r w:rsidR="0034516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</w:t>
            </w:r>
            <w:r w:rsidR="0034516D" w:rsidRPr="0034516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 21.12.2017</w:t>
            </w:r>
            <w:r w:rsidR="0034516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згідно з яким майно </w:t>
            </w:r>
            <w:r w:rsidR="0034516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перебуває  у володінні підприємства до 30.12.2033.</w:t>
            </w:r>
          </w:p>
          <w:p w14:paraId="77934DC9" w14:textId="77777777" w:rsidR="0049485F" w:rsidRPr="0049485F" w:rsidRDefault="0049485F" w:rsidP="00C04B24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7882D864" w14:textId="5D9FA412" w:rsidR="00C04B24" w:rsidRDefault="00C04B24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Проєктом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</w:t>
            </w:r>
            <w:r w:rsidR="0049485F">
              <w:rPr>
                <w:rFonts w:ascii="Times New Roman" w:hAnsi="Times New Roman" w:cs="Times New Roman"/>
                <w:i/>
              </w:rPr>
              <w:t xml:space="preserve">                             </w:t>
            </w:r>
            <w:r w:rsidRPr="00C04B24">
              <w:rPr>
                <w:rFonts w:ascii="Times New Roman" w:hAnsi="Times New Roman" w:cs="Times New Roman"/>
                <w:i/>
              </w:rPr>
              <w:t>від 18.06.2020 у справі  № 925/449/19, від 27.01.2021 у справі № 630/269/16,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ресурсів.</w:t>
            </w:r>
          </w:p>
          <w:p w14:paraId="45910373" w14:textId="77777777" w:rsidR="00AB6A09" w:rsidRPr="0049485F" w:rsidRDefault="00AB6A09" w:rsidP="00C04B24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4EB45F2D" w14:textId="363F907A" w:rsidR="00C04B24" w:rsidRDefault="00C04B24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8B41C15" w14:textId="72DB4C3F" w:rsidR="00C04B24" w:rsidRDefault="00C04B24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="0049485F"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C04B24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02F7573B" w14:textId="77777777" w:rsidR="0049485F" w:rsidRPr="0049485F" w:rsidRDefault="0049485F" w:rsidP="00C04B24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16A4FC9D" w14:textId="30A6508F" w:rsidR="00C04B24" w:rsidRPr="0070402C" w:rsidRDefault="00C04B24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515AEAD9" w14:textId="77777777" w:rsidR="00B24341" w:rsidRPr="00173F07" w:rsidRDefault="00B24341" w:rsidP="00B24341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27F05C7A" w14:textId="77777777" w:rsidR="00B24341" w:rsidRDefault="00B24341" w:rsidP="00B24341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ради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4B187F66" w14:textId="77777777" w:rsidR="00B24341" w:rsidRPr="005C01D0" w:rsidRDefault="00B24341" w:rsidP="00B24341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16"/>
          <w:szCs w:val="16"/>
          <w:lang w:val="ru-RU"/>
        </w:rPr>
      </w:pPr>
      <w:bookmarkStart w:id="0" w:name="_GoBack"/>
      <w:bookmarkEnd w:id="0"/>
    </w:p>
    <w:p w14:paraId="6E77F39A" w14:textId="77777777" w:rsidR="00B24341" w:rsidRPr="005C534F" w:rsidRDefault="00B24341" w:rsidP="00B24341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0AC95276" w14:textId="77777777" w:rsidR="00B24341" w:rsidRPr="00173F07" w:rsidRDefault="00B24341" w:rsidP="001C2138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686D218D" w14:textId="672878EA" w:rsidR="00B24341" w:rsidRPr="0043569A" w:rsidRDefault="00B24341" w:rsidP="001C2138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кодексу </w:t>
      </w:r>
      <w:proofErr w:type="spellStart"/>
      <w:r>
        <w:rPr>
          <w:i w:val="0"/>
          <w:sz w:val="24"/>
          <w:szCs w:val="24"/>
          <w:lang w:val="ru-RU"/>
        </w:rPr>
        <w:t>України</w:t>
      </w:r>
      <w:proofErr w:type="spellEnd"/>
      <w:r>
        <w:rPr>
          <w:i w:val="0"/>
          <w:sz w:val="24"/>
          <w:szCs w:val="24"/>
          <w:lang w:val="ru-RU"/>
        </w:rPr>
        <w:t xml:space="preserve">, Закону </w:t>
      </w:r>
      <w:proofErr w:type="spellStart"/>
      <w:r>
        <w:rPr>
          <w:i w:val="0"/>
          <w:sz w:val="24"/>
          <w:szCs w:val="24"/>
          <w:lang w:val="ru-RU"/>
        </w:rPr>
        <w:t>України</w:t>
      </w:r>
      <w:proofErr w:type="spellEnd"/>
      <w:r>
        <w:rPr>
          <w:i w:val="0"/>
          <w:sz w:val="24"/>
          <w:szCs w:val="24"/>
          <w:lang w:val="ru-RU"/>
        </w:rPr>
        <w:t xml:space="preserve"> «Про </w:t>
      </w:r>
      <w:proofErr w:type="spellStart"/>
      <w:r>
        <w:rPr>
          <w:i w:val="0"/>
          <w:sz w:val="24"/>
          <w:szCs w:val="24"/>
          <w:lang w:val="ru-RU"/>
        </w:rPr>
        <w:t>оренду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землі</w:t>
      </w:r>
      <w:proofErr w:type="spellEnd"/>
      <w:r>
        <w:rPr>
          <w:i w:val="0"/>
          <w:sz w:val="24"/>
          <w:szCs w:val="24"/>
          <w:lang w:val="ru-RU"/>
        </w:rPr>
        <w:t xml:space="preserve">» та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Київської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r w:rsidRPr="00F804BF">
        <w:rPr>
          <w:i w:val="0"/>
          <w:sz w:val="24"/>
          <w:szCs w:val="24"/>
          <w:lang w:val="ru-RU"/>
        </w:rPr>
        <w:t xml:space="preserve">ради </w:t>
      </w:r>
      <w:r w:rsidRPr="0043569A">
        <w:rPr>
          <w:i w:val="0"/>
          <w:sz w:val="24"/>
          <w:szCs w:val="24"/>
          <w:lang w:val="ru-RU"/>
        </w:rPr>
        <w:t xml:space="preserve">08.12.2022 № 5828/5869 «Про бюджет </w:t>
      </w:r>
      <w:proofErr w:type="spellStart"/>
      <w:r w:rsidRPr="0043569A">
        <w:rPr>
          <w:i w:val="0"/>
          <w:sz w:val="24"/>
          <w:szCs w:val="24"/>
          <w:lang w:val="ru-RU"/>
        </w:rPr>
        <w:t>міста</w:t>
      </w:r>
      <w:proofErr w:type="spellEnd"/>
      <w:r w:rsidRPr="0043569A">
        <w:rPr>
          <w:i w:val="0"/>
          <w:sz w:val="24"/>
          <w:szCs w:val="24"/>
          <w:lang w:val="ru-RU"/>
        </w:rPr>
        <w:t xml:space="preserve"> </w:t>
      </w:r>
      <w:proofErr w:type="spellStart"/>
      <w:r w:rsidRPr="0043569A">
        <w:rPr>
          <w:i w:val="0"/>
          <w:sz w:val="24"/>
          <w:szCs w:val="24"/>
          <w:lang w:val="ru-RU"/>
        </w:rPr>
        <w:t>Києва</w:t>
      </w:r>
      <w:proofErr w:type="spellEnd"/>
      <w:r w:rsidRPr="0043569A">
        <w:rPr>
          <w:i w:val="0"/>
          <w:sz w:val="24"/>
          <w:szCs w:val="24"/>
          <w:lang w:val="ru-RU"/>
        </w:rPr>
        <w:t xml:space="preserve"> на 2023 </w:t>
      </w:r>
      <w:proofErr w:type="spellStart"/>
      <w:r w:rsidRPr="0043569A">
        <w:rPr>
          <w:i w:val="0"/>
          <w:sz w:val="24"/>
          <w:szCs w:val="24"/>
          <w:lang w:val="ru-RU"/>
        </w:rPr>
        <w:t>рік</w:t>
      </w:r>
      <w:proofErr w:type="spellEnd"/>
      <w:r w:rsidRPr="0043569A">
        <w:rPr>
          <w:i w:val="0"/>
          <w:sz w:val="24"/>
          <w:szCs w:val="24"/>
          <w:lang w:val="ru-RU"/>
        </w:rPr>
        <w:t>»</w:t>
      </w:r>
      <w:r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Pr="00F804BF">
        <w:rPr>
          <w:i w:val="0"/>
          <w:sz w:val="24"/>
          <w:szCs w:val="24"/>
          <w:lang w:val="ru-RU"/>
        </w:rPr>
        <w:t>орієнтовний</w:t>
      </w:r>
      <w:proofErr w:type="spellEnd"/>
      <w:r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Pr="00F804BF">
        <w:rPr>
          <w:i w:val="0"/>
          <w:sz w:val="24"/>
          <w:szCs w:val="24"/>
          <w:lang w:val="ru-RU"/>
        </w:rPr>
        <w:t>розмір</w:t>
      </w:r>
      <w:proofErr w:type="spellEnd"/>
      <w:r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Pr="00F804BF">
        <w:rPr>
          <w:i w:val="0"/>
          <w:sz w:val="24"/>
          <w:szCs w:val="24"/>
          <w:lang w:val="ru-RU"/>
        </w:rPr>
        <w:t>р</w:t>
      </w:r>
      <w:r>
        <w:rPr>
          <w:i w:val="0"/>
          <w:sz w:val="24"/>
          <w:szCs w:val="24"/>
          <w:lang w:val="ru-RU"/>
        </w:rPr>
        <w:t>ічної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орендної</w:t>
      </w:r>
      <w:proofErr w:type="spellEnd"/>
      <w:r>
        <w:rPr>
          <w:i w:val="0"/>
          <w:sz w:val="24"/>
          <w:szCs w:val="24"/>
          <w:lang w:val="ru-RU"/>
        </w:rPr>
        <w:t xml:space="preserve"> плати </w:t>
      </w:r>
      <w:proofErr w:type="spellStart"/>
      <w:r>
        <w:rPr>
          <w:i w:val="0"/>
          <w:sz w:val="24"/>
          <w:szCs w:val="24"/>
          <w:lang w:val="ru-RU"/>
        </w:rPr>
        <w:t>складатиме</w:t>
      </w:r>
      <w:proofErr w:type="spellEnd"/>
      <w:r>
        <w:rPr>
          <w:i w:val="0"/>
          <w:sz w:val="24"/>
          <w:szCs w:val="24"/>
          <w:lang w:val="ru-RU"/>
        </w:rPr>
        <w:t xml:space="preserve">: </w:t>
      </w:r>
      <w:r w:rsidR="00534F2F" w:rsidRPr="001C2138">
        <w:rPr>
          <w:b/>
          <w:i w:val="0"/>
          <w:sz w:val="24"/>
          <w:szCs w:val="24"/>
          <w:u w:val="single"/>
          <w:lang w:val="ru-RU"/>
        </w:rPr>
        <w:t>218</w:t>
      </w:r>
      <w:r w:rsidRPr="001C2138">
        <w:rPr>
          <w:b/>
          <w:i w:val="0"/>
          <w:sz w:val="24"/>
          <w:szCs w:val="24"/>
          <w:u w:val="single"/>
          <w:lang w:val="ru-RU"/>
        </w:rPr>
        <w:t> </w:t>
      </w:r>
      <w:r w:rsidR="00534F2F" w:rsidRPr="001C2138">
        <w:rPr>
          <w:b/>
          <w:i w:val="0"/>
          <w:sz w:val="24"/>
          <w:szCs w:val="24"/>
          <w:u w:val="single"/>
          <w:lang w:val="ru-RU"/>
        </w:rPr>
        <w:t>136</w:t>
      </w:r>
      <w:r w:rsidRPr="001C2138">
        <w:rPr>
          <w:b/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Pr="001C2138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Pr="001C2138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534F2F" w:rsidRPr="001C2138">
        <w:rPr>
          <w:b/>
          <w:i w:val="0"/>
          <w:sz w:val="24"/>
          <w:szCs w:val="24"/>
          <w:u w:val="single"/>
          <w:lang w:val="ru-RU"/>
        </w:rPr>
        <w:t>93</w:t>
      </w:r>
      <w:r w:rsidRPr="001C2138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534F2F" w:rsidRPr="001C2138">
        <w:rPr>
          <w:b/>
          <w:i w:val="0"/>
          <w:sz w:val="24"/>
          <w:szCs w:val="24"/>
          <w:u w:val="single"/>
          <w:lang w:val="ru-RU"/>
        </w:rPr>
        <w:t>3</w:t>
      </w:r>
      <w:r w:rsidRPr="001C2138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14:paraId="3DAD1044" w14:textId="77777777" w:rsidR="00B24341" w:rsidRPr="005C01D0" w:rsidRDefault="00B24341" w:rsidP="00B24341">
      <w:pPr>
        <w:pStyle w:val="1"/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16"/>
          <w:szCs w:val="16"/>
          <w:lang w:val="ru-RU"/>
        </w:rPr>
      </w:pPr>
    </w:p>
    <w:p w14:paraId="3355C5B7" w14:textId="77777777" w:rsidR="00B24341" w:rsidRPr="00C20204" w:rsidRDefault="00B24341" w:rsidP="00B24341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7C8EBC1E" w14:textId="77777777" w:rsidR="00B24341" w:rsidRPr="00173F07" w:rsidRDefault="00B24341" w:rsidP="00B24341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0AD3C569" w14:textId="77777777" w:rsidR="00B24341" w:rsidRDefault="00B24341" w:rsidP="00B24341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79490005" w14:textId="77777777" w:rsidR="00B24341" w:rsidRPr="00AD604C" w:rsidRDefault="00B24341" w:rsidP="00B24341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DF47AD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24341" w14:paraId="0D30F0F1" w14:textId="77777777" w:rsidTr="00F05284">
        <w:trPr>
          <w:trHeight w:val="663"/>
        </w:trPr>
        <w:tc>
          <w:tcPr>
            <w:tcW w:w="4814" w:type="dxa"/>
            <w:hideMark/>
          </w:tcPr>
          <w:p w14:paraId="15091DBE" w14:textId="77777777" w:rsidR="00B24341" w:rsidRDefault="00B24341" w:rsidP="00F05284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19C6B4D4" w14:textId="77777777" w:rsidR="00B24341" w:rsidRDefault="00B24341" w:rsidP="00F05284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713EDD6" w14:textId="77777777" w:rsidR="00B24341" w:rsidRDefault="00B24341" w:rsidP="00F05284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52981181" w14:textId="77777777" w:rsidR="00B24341" w:rsidRDefault="00B24341" w:rsidP="00F0528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2EE47388" w14:textId="77777777" w:rsidR="00B24341" w:rsidRPr="00E679AD" w:rsidRDefault="00B24341" w:rsidP="00F0528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3D6093E1" w14:textId="77777777" w:rsidR="00FF1715" w:rsidRPr="00B30291" w:rsidRDefault="00FF1715" w:rsidP="005C01D0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0"/>
      <w:footerReference w:type="default" r:id="rId11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B2DD8" w14:textId="77777777" w:rsidR="00402822" w:rsidRDefault="00402822">
      <w:r>
        <w:separator/>
      </w:r>
    </w:p>
  </w:endnote>
  <w:endnote w:type="continuationSeparator" w:id="0">
    <w:p w14:paraId="2BBC334E" w14:textId="77777777" w:rsidR="00402822" w:rsidRDefault="0040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A4652" w14:textId="77777777" w:rsidR="00402822" w:rsidRDefault="00402822">
      <w:r>
        <w:separator/>
      </w:r>
    </w:p>
  </w:footnote>
  <w:footnote w:type="continuationSeparator" w:id="0">
    <w:p w14:paraId="25473DBD" w14:textId="77777777" w:rsidR="00402822" w:rsidRDefault="0040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9C3193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9C3193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9C3193">
          <w:rPr>
            <w:i w:val="0"/>
            <w:sz w:val="12"/>
            <w:szCs w:val="12"/>
            <w:lang w:val="ru-RU"/>
          </w:rPr>
          <w:t xml:space="preserve"> записка № ПЗН-51625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9C3193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9C3193">
          <w:rPr>
            <w:i w:val="0"/>
            <w:sz w:val="12"/>
            <w:szCs w:val="12"/>
            <w:lang w:val="ru-RU"/>
          </w:rPr>
          <w:t xml:space="preserve"> </w:t>
        </w:r>
        <w:r w:rsidR="00855E11" w:rsidRPr="009C3193">
          <w:rPr>
            <w:i w:val="0"/>
            <w:sz w:val="12"/>
            <w:szCs w:val="12"/>
            <w:lang w:val="ru-RU"/>
          </w:rPr>
          <w:t>24.02.2023</w:t>
        </w:r>
        <w:r w:rsidR="0012494D" w:rsidRPr="009C3193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9C3193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9C3193">
          <w:rPr>
            <w:i w:val="0"/>
            <w:sz w:val="12"/>
            <w:szCs w:val="12"/>
            <w:lang w:val="ru-RU"/>
          </w:rPr>
          <w:t xml:space="preserve"> 656133924</w:t>
        </w:r>
      </w:p>
      <w:p w14:paraId="3386C57A" w14:textId="58A6D462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C01D0" w:rsidRPr="005C01D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40282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6710E"/>
    <w:rsid w:val="0012494D"/>
    <w:rsid w:val="00173F07"/>
    <w:rsid w:val="00174033"/>
    <w:rsid w:val="00174E19"/>
    <w:rsid w:val="001A7756"/>
    <w:rsid w:val="001C2138"/>
    <w:rsid w:val="001D3A82"/>
    <w:rsid w:val="002370D1"/>
    <w:rsid w:val="00265722"/>
    <w:rsid w:val="002678BE"/>
    <w:rsid w:val="002C6199"/>
    <w:rsid w:val="002D265C"/>
    <w:rsid w:val="00311269"/>
    <w:rsid w:val="0034516D"/>
    <w:rsid w:val="00346872"/>
    <w:rsid w:val="003A13FE"/>
    <w:rsid w:val="003C3E66"/>
    <w:rsid w:val="00402822"/>
    <w:rsid w:val="00452D5A"/>
    <w:rsid w:val="00463B38"/>
    <w:rsid w:val="0049485F"/>
    <w:rsid w:val="00495A67"/>
    <w:rsid w:val="0050652B"/>
    <w:rsid w:val="005312BE"/>
    <w:rsid w:val="00534F2F"/>
    <w:rsid w:val="005740F1"/>
    <w:rsid w:val="00581A44"/>
    <w:rsid w:val="005C01D0"/>
    <w:rsid w:val="005D5C2D"/>
    <w:rsid w:val="0065190A"/>
    <w:rsid w:val="00686E71"/>
    <w:rsid w:val="006A34C6"/>
    <w:rsid w:val="007033CD"/>
    <w:rsid w:val="00706695"/>
    <w:rsid w:val="00725C6A"/>
    <w:rsid w:val="007312B1"/>
    <w:rsid w:val="007C0899"/>
    <w:rsid w:val="007D4A0A"/>
    <w:rsid w:val="007E2D6E"/>
    <w:rsid w:val="007E3A33"/>
    <w:rsid w:val="007F05B6"/>
    <w:rsid w:val="007F1356"/>
    <w:rsid w:val="00820317"/>
    <w:rsid w:val="00855E11"/>
    <w:rsid w:val="00906967"/>
    <w:rsid w:val="0094351B"/>
    <w:rsid w:val="0098267F"/>
    <w:rsid w:val="009C3193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B0BD9"/>
    <w:rsid w:val="00AB6A09"/>
    <w:rsid w:val="00AC6C1F"/>
    <w:rsid w:val="00B00C12"/>
    <w:rsid w:val="00B11B2C"/>
    <w:rsid w:val="00B24341"/>
    <w:rsid w:val="00B30291"/>
    <w:rsid w:val="00B76C53"/>
    <w:rsid w:val="00B83948"/>
    <w:rsid w:val="00B84526"/>
    <w:rsid w:val="00B84B97"/>
    <w:rsid w:val="00C04B24"/>
    <w:rsid w:val="00C20204"/>
    <w:rsid w:val="00C5746C"/>
    <w:rsid w:val="00C70FE7"/>
    <w:rsid w:val="00C80AE3"/>
    <w:rsid w:val="00C94FF1"/>
    <w:rsid w:val="00C95681"/>
    <w:rsid w:val="00CA5D01"/>
    <w:rsid w:val="00D27EDF"/>
    <w:rsid w:val="00D57CE8"/>
    <w:rsid w:val="00D64B3A"/>
    <w:rsid w:val="00D702BD"/>
    <w:rsid w:val="00D77F52"/>
    <w:rsid w:val="00D85DDE"/>
    <w:rsid w:val="00DF31A7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ED6EA-CFC1-46E0-AA25-E488CF34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7707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Носуліч Тетяна Миколаївна</cp:lastModifiedBy>
  <cp:revision>52</cp:revision>
  <cp:lastPrinted>2021-11-24T14:25:00Z</cp:lastPrinted>
  <dcterms:created xsi:type="dcterms:W3CDTF">2020-11-18T11:16:00Z</dcterms:created>
  <dcterms:modified xsi:type="dcterms:W3CDTF">2023-02-27T07:43:00Z</dcterms:modified>
</cp:coreProperties>
</file>