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AB9F7DD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9D4D13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21DEF24E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4D13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</w:t>
            </w:r>
            <w:r w:rsidR="009D4D13" w:rsidRPr="009D4D1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9D4D13">
              <w:rPr>
                <w:b/>
                <w:sz w:val="28"/>
                <w:szCs w:val="28"/>
                <w:highlight w:val="white"/>
                <w:lang w:val="uk-UA" w:eastAsia="uk-UA"/>
              </w:rPr>
              <w:t>«ПІДПРИЄМСТВО «КИЇВ»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25 грудня 2007 року № 82-6-00468</w:t>
            </w:r>
            <w:r w:rsidR="009D4D13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654180590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654180590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1C79433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</w:t>
      </w:r>
      <w:r w:rsidR="00FF2965">
        <w:rPr>
          <w:snapToGrid w:val="0"/>
          <w:sz w:val="28"/>
          <w:lang w:val="uk-UA"/>
        </w:rPr>
        <w:t xml:space="preserve">                         </w:t>
      </w:r>
      <w:r>
        <w:rPr>
          <w:snapToGrid w:val="0"/>
          <w:sz w:val="28"/>
          <w:lang w:val="uk-UA"/>
        </w:rPr>
        <w:t xml:space="preserve">оренду землі», пункту 34 частини першої статті 26 Закону України «Про </w:t>
      </w:r>
      <w:r w:rsidR="00FF2965">
        <w:rPr>
          <w:snapToGrid w:val="0"/>
          <w:sz w:val="28"/>
          <w:lang w:val="uk-UA"/>
        </w:rPr>
        <w:t xml:space="preserve">                  </w:t>
      </w:r>
      <w:r>
        <w:rPr>
          <w:snapToGrid w:val="0"/>
          <w:sz w:val="28"/>
          <w:lang w:val="uk-UA"/>
        </w:rPr>
        <w:t xml:space="preserve">місцеве самоврядування в Україні» та враховуючи звернення </w:t>
      </w:r>
      <w:r w:rsidR="009D4D13">
        <w:rPr>
          <w:snapToGrid w:val="0"/>
          <w:sz w:val="28"/>
          <w:lang w:val="uk-UA"/>
        </w:rPr>
        <w:t>товариства</w:t>
      </w:r>
      <w:r w:rsidR="009D4D13" w:rsidRPr="009D4D13">
        <w:rPr>
          <w:snapToGrid w:val="0"/>
          <w:sz w:val="28"/>
          <w:lang w:val="uk-UA"/>
        </w:rPr>
        <w:t xml:space="preserve"> </w:t>
      </w:r>
      <w:r w:rsidR="00FF2965">
        <w:rPr>
          <w:snapToGrid w:val="0"/>
          <w:sz w:val="28"/>
          <w:lang w:val="uk-UA"/>
        </w:rPr>
        <w:t xml:space="preserve">                          </w:t>
      </w:r>
      <w:r w:rsidR="009D4D13" w:rsidRPr="009D4D13">
        <w:rPr>
          <w:snapToGrid w:val="0"/>
          <w:sz w:val="28"/>
          <w:lang w:val="uk-UA"/>
        </w:rPr>
        <w:t>з обмеженою відповідальністю</w:t>
      </w:r>
      <w:r w:rsidRPr="009D4D13">
        <w:rPr>
          <w:snapToGrid w:val="0"/>
          <w:sz w:val="28"/>
          <w:lang w:val="uk-UA"/>
        </w:rPr>
        <w:t xml:space="preserve"> «ПІДПРИЄМСТВО «КИЇВ»</w:t>
      </w:r>
      <w:r>
        <w:rPr>
          <w:snapToGrid w:val="0"/>
          <w:sz w:val="28"/>
          <w:lang w:val="uk-UA"/>
        </w:rPr>
        <w:t xml:space="preserve"> від </w:t>
      </w:r>
      <w:r w:rsidR="005C6107" w:rsidRPr="009D4D13">
        <w:rPr>
          <w:snapToGrid w:val="0"/>
          <w:sz w:val="28"/>
          <w:lang w:val="uk-UA"/>
        </w:rPr>
        <w:t xml:space="preserve">23 липня </w:t>
      </w:r>
      <w:r w:rsidR="00FF2965">
        <w:rPr>
          <w:snapToGrid w:val="0"/>
          <w:sz w:val="28"/>
          <w:lang w:val="uk-UA"/>
        </w:rPr>
        <w:t xml:space="preserve">                   </w:t>
      </w:r>
      <w:r w:rsidR="005C6107" w:rsidRPr="009D4D13">
        <w:rPr>
          <w:snapToGrid w:val="0"/>
          <w:sz w:val="28"/>
          <w:lang w:val="uk-UA"/>
        </w:rPr>
        <w:t>2021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9D4D13">
        <w:rPr>
          <w:snapToGrid w:val="0"/>
          <w:sz w:val="28"/>
          <w:lang w:val="uk-UA"/>
        </w:rPr>
        <w:t xml:space="preserve"> </w:t>
      </w:r>
      <w:bookmarkStart w:id="0" w:name="_GoBack"/>
      <w:bookmarkEnd w:id="0"/>
      <w:r>
        <w:rPr>
          <w:snapToGrid w:val="0"/>
          <w:sz w:val="28"/>
          <w:lang w:val="uk-UA"/>
        </w:rPr>
        <w:t xml:space="preserve">№ </w:t>
      </w:r>
      <w:r w:rsidRPr="009D4D13">
        <w:rPr>
          <w:snapToGrid w:val="0"/>
          <w:sz w:val="28"/>
          <w:lang w:val="uk-UA"/>
        </w:rPr>
        <w:t>654180590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B41054E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9D4D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(кадастровий номер </w:t>
      </w:r>
      <w:r w:rsidR="009D4D13">
        <w:rPr>
          <w:rFonts w:ascii="Times New Roman" w:hAnsi="Times New Roman"/>
          <w:sz w:val="28"/>
          <w:szCs w:val="28"/>
          <w:lang w:val="uk-UA"/>
        </w:rPr>
        <w:t>8000000000:</w:t>
      </w:r>
      <w:r w:rsidRPr="009D4D13">
        <w:rPr>
          <w:rFonts w:ascii="Times New Roman" w:hAnsi="Times New Roman"/>
          <w:sz w:val="28"/>
          <w:szCs w:val="28"/>
          <w:lang w:val="uk-UA"/>
        </w:rPr>
        <w:t>82:185:0133</w:t>
      </w:r>
      <w:r w:rsidR="009D4D1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9D4D13">
        <w:rPr>
          <w:rFonts w:ascii="Times New Roman" w:hAnsi="Times New Roman"/>
          <w:sz w:val="28"/>
          <w:szCs w:val="28"/>
          <w:lang w:val="uk-UA"/>
        </w:rPr>
        <w:t>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4D13">
        <w:rPr>
          <w:rFonts w:ascii="Times New Roman" w:hAnsi="Times New Roman"/>
          <w:sz w:val="28"/>
          <w:szCs w:val="28"/>
          <w:highlight w:val="white"/>
          <w:lang w:val="uk-UA" w:eastAsia="uk-UA"/>
        </w:rPr>
        <w:t>0,0925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(в межах червоних ліній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25 грудня 2007 року № 82-6-00468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(у редакції договору про поновлення                   договору оренди від 30 листопада 2016 року № 4180)</w:t>
      </w:r>
      <w:r>
        <w:rPr>
          <w:rFonts w:ascii="Times New Roman" w:hAnsi="Times New Roman"/>
          <w:sz w:val="28"/>
          <w:szCs w:val="28"/>
          <w:lang w:val="uk-UA"/>
        </w:rPr>
        <w:t xml:space="preserve">, укладений між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Київською міською радою та </w:t>
      </w:r>
      <w:r w:rsidR="009D4D13"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товариство</w:t>
      </w:r>
      <w:r w:rsid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9D4D13"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«ПІДПРИЄМСТВО «КИЇВ»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4D13">
        <w:rPr>
          <w:rFonts w:ascii="Times New Roman" w:hAnsi="Times New Roman"/>
          <w:sz w:val="28"/>
          <w:szCs w:val="28"/>
          <w:lang w:val="uk-UA"/>
        </w:rPr>
        <w:t xml:space="preserve">для реконструкції території, комплексу будівель та споруд колишньої взуттєвої фабрики для будівництва, експлуатації та обслуговування багатофункціонального громадсько-житлового комплексу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9D4D13">
        <w:rPr>
          <w:rFonts w:ascii="Times New Roman" w:hAnsi="Times New Roman"/>
          <w:sz w:val="28"/>
          <w:szCs w:val="28"/>
          <w:lang w:val="uk-UA"/>
        </w:rPr>
        <w:t xml:space="preserve">з об'єктами готельного та офісного призначення, житловими будинками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9D4D13">
        <w:rPr>
          <w:rFonts w:ascii="Times New Roman" w:hAnsi="Times New Roman"/>
          <w:sz w:val="28"/>
          <w:szCs w:val="28"/>
          <w:lang w:val="uk-UA"/>
        </w:rPr>
        <w:t xml:space="preserve">із знесенням відповідних об'єктів та з  комплексним </w:t>
      </w:r>
      <w:proofErr w:type="spellStart"/>
      <w:r w:rsidRPr="009D4D13">
        <w:rPr>
          <w:rFonts w:ascii="Times New Roman" w:hAnsi="Times New Roman"/>
          <w:sz w:val="28"/>
          <w:szCs w:val="28"/>
          <w:lang w:val="uk-UA"/>
        </w:rPr>
        <w:t>благоустроєм</w:t>
      </w:r>
      <w:proofErr w:type="spellEnd"/>
      <w:r w:rsidRPr="009D4D13">
        <w:rPr>
          <w:rFonts w:ascii="Times New Roman" w:hAnsi="Times New Roman"/>
          <w:sz w:val="28"/>
          <w:szCs w:val="28"/>
          <w:lang w:val="uk-UA"/>
        </w:rPr>
        <w:t xml:space="preserve">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9D4D13"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Лаврській, 16 </w:t>
      </w:r>
      <w:r w:rsidRPr="009D4D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Печерському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="009D4D1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654180590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68FD630E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25 грудня 2007 року № 82-6-00468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D13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5DD620EC" w:rsidR="00C72FE2" w:rsidRDefault="009D4D13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4D13">
        <w:rPr>
          <w:rFonts w:ascii="Times New Roman" w:hAnsi="Times New Roman"/>
          <w:sz w:val="28"/>
          <w:szCs w:val="28"/>
          <w:lang w:val="uk-UA"/>
        </w:rPr>
        <w:lastRenderedPageBreak/>
        <w:t xml:space="preserve">Товариству з обмеженою відповідальністю </w:t>
      </w:r>
      <w:r w:rsidR="00C72FE2" w:rsidRPr="009D4D13">
        <w:rPr>
          <w:rFonts w:ascii="Times New Roman" w:hAnsi="Times New Roman"/>
          <w:sz w:val="28"/>
          <w:szCs w:val="28"/>
          <w:lang w:val="uk-UA"/>
        </w:rPr>
        <w:t>«ПІДПРИЄМСТВО «КИЇВ»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25 грудня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2007 року № 82-6-00468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8697730" w14:textId="77777777" w:rsidR="001057BA" w:rsidRDefault="001057BA" w:rsidP="008420F7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310E630D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27D584CF" w14:textId="77777777" w:rsidR="001057BA" w:rsidRDefault="001057BA" w:rsidP="00057D3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DB2914" w14:textId="70E54D5B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562252" w14:paraId="422AFA26" w14:textId="77777777" w:rsidTr="001C3D70">
        <w:trPr>
          <w:trHeight w:val="1705"/>
        </w:trPr>
        <w:tc>
          <w:tcPr>
            <w:tcW w:w="6096" w:type="dxa"/>
          </w:tcPr>
          <w:p w14:paraId="12392C56" w14:textId="77777777" w:rsidR="00562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66A9CC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1B8CC6B0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02AEFDAC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E4657A6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3A42DAA" w14:textId="3B9D3C92" w:rsidR="00562252" w:rsidRDefault="00562252" w:rsidP="0056225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A297F8A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0E8416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8EE073F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8F220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8D813B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C78D25B" w14:textId="2BA3727A" w:rsidR="00562252" w:rsidRPr="00562252" w:rsidRDefault="00562252" w:rsidP="00562252">
            <w:pPr>
              <w:ind w:left="-105" w:right="-114"/>
              <w:jc w:val="right"/>
              <w:rPr>
                <w:b/>
                <w:snapToGrid w:val="0"/>
                <w:sz w:val="28"/>
                <w:szCs w:val="28"/>
                <w:lang w:val="uk-UA" w:eastAsia="en-US"/>
              </w:rPr>
            </w:pPr>
            <w:r w:rsidRPr="00562252">
              <w:rPr>
                <w:rStyle w:val="af0"/>
                <w:b w:val="0"/>
                <w:sz w:val="28"/>
                <w:szCs w:val="28"/>
                <w:lang w:val="uk-UA"/>
              </w:rPr>
              <w:t>Олександр ПИВОВАРОВ</w:t>
            </w:r>
          </w:p>
        </w:tc>
      </w:tr>
      <w:tr w:rsidR="00752D4D" w14:paraId="160A9D94" w14:textId="77777777" w:rsidTr="001C3D70">
        <w:tc>
          <w:tcPr>
            <w:tcW w:w="6096" w:type="dxa"/>
          </w:tcPr>
          <w:p w14:paraId="0CCBF0FA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90B20BF" w14:textId="765EC34F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управління </w:t>
            </w:r>
            <w:r w:rsidR="001C3D70">
              <w:rPr>
                <w:sz w:val="28"/>
                <w:szCs w:val="28"/>
                <w:lang w:val="uk-UA" w:eastAsia="en-US"/>
              </w:rPr>
              <w:t>ринку земель</w:t>
            </w:r>
          </w:p>
          <w:p w14:paraId="7AF41F37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25E8D6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  <w:r w:rsidRPr="00CB7BE4">
              <w:rPr>
                <w:sz w:val="28"/>
                <w:szCs w:val="28"/>
                <w:lang w:val="uk-UA" w:eastAsia="en-US"/>
              </w:rPr>
              <w:t>иконавчого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органу Київської міської ради </w:t>
            </w:r>
          </w:p>
          <w:p w14:paraId="0EAEF565" w14:textId="006344D2" w:rsidR="00752D4D" w:rsidRDefault="00752D4D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52D4D" w:rsidRPr="00E80871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6E7403D" w14:textId="77777777" w:rsidR="00752D4D" w:rsidRPr="00E80871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FED855D" w14:textId="77777777" w:rsidR="00752D4D" w:rsidRPr="00E80871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D229551" w14:textId="24C2FC5B" w:rsidR="00752D4D" w:rsidRPr="00E80871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9953ABF" w14:textId="77777777" w:rsidR="00752D4D" w:rsidRPr="0075444E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49B357A" w14:textId="77777777" w:rsidR="00752D4D" w:rsidRPr="0075444E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908EA1F" w14:textId="5ECC4675" w:rsidR="00752D4D" w:rsidRDefault="001C3D70" w:rsidP="00752D4D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1C3D70">
              <w:rPr>
                <w:snapToGrid w:val="0"/>
                <w:sz w:val="28"/>
                <w:szCs w:val="28"/>
                <w:lang w:val="en-US" w:eastAsia="en-US"/>
              </w:rPr>
              <w:t>Наталія</w:t>
            </w:r>
            <w:proofErr w:type="spellEnd"/>
            <w:r w:rsidRPr="001C3D70">
              <w:rPr>
                <w:snapToGrid w:val="0"/>
                <w:sz w:val="28"/>
                <w:szCs w:val="28"/>
                <w:lang w:val="en-US" w:eastAsia="en-US"/>
              </w:rPr>
              <w:t xml:space="preserve"> ПАНЧЕНКО</w:t>
            </w:r>
          </w:p>
        </w:tc>
      </w:tr>
      <w:tr w:rsidR="00752D4D" w14:paraId="7EF31E28" w14:textId="77777777" w:rsidTr="001C3D70">
        <w:tc>
          <w:tcPr>
            <w:tcW w:w="6096" w:type="dxa"/>
          </w:tcPr>
          <w:p w14:paraId="1E272164" w14:textId="77777777" w:rsidR="00752D4D" w:rsidRDefault="00752D4D" w:rsidP="00752D4D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1C3D70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31DF74C" w:rsidR="00752D4D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52D4D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52D4D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52D4D" w:rsidRDefault="00752D4D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52D4D" w:rsidRPr="008420F7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752D4D" w:rsidRPr="00562252" w:rsidRDefault="004B6F32" w:rsidP="00752D4D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4B6F32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26CE97F" w14:textId="77777777" w:rsidR="001057BA" w:rsidRDefault="001057BA" w:rsidP="001057BA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74678A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76FA579D" w:rsidR="00C52894" w:rsidRPr="005464BD" w:rsidRDefault="00C52894" w:rsidP="00946D94">
      <w:pPr>
        <w:rPr>
          <w:lang w:val="uk-UA"/>
        </w:rPr>
      </w:pPr>
    </w:p>
    <w:sectPr w:rsidR="00C52894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5F5"/>
    <w:rsid w:val="00360306"/>
    <w:rsid w:val="003618FC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4D13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4505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Романенко Ганна Василівна</cp:lastModifiedBy>
  <cp:revision>2</cp:revision>
  <cp:lastPrinted>2021-10-28T09:43:00Z</cp:lastPrinted>
  <dcterms:created xsi:type="dcterms:W3CDTF">2021-11-25T10:47:00Z</dcterms:created>
  <dcterms:modified xsi:type="dcterms:W3CDTF">2021-11-25T10:47:00Z</dcterms:modified>
</cp:coreProperties>
</file>