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652510119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652510119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11F9FA78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B873A7">
        <w:rPr>
          <w:b/>
          <w:bCs/>
          <w:sz w:val="24"/>
          <w:szCs w:val="24"/>
          <w:lang w:val="ru-RU"/>
        </w:rPr>
        <w:t>ПЗН-68350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B873A7">
        <w:rPr>
          <w:b/>
          <w:bCs/>
          <w:sz w:val="24"/>
          <w:szCs w:val="24"/>
          <w:lang w:val="ru-RU"/>
        </w:rPr>
        <w:t>18.07.2024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6BD4C92C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>Про</w:t>
      </w:r>
      <w:r w:rsidR="00ED10A2">
        <w:rPr>
          <w:b/>
          <w:i/>
          <w:iCs/>
          <w:sz w:val="24"/>
          <w:szCs w:val="24"/>
        </w:rPr>
        <w:t xml:space="preserve"> надання</w:t>
      </w:r>
      <w:r w:rsidRPr="003774B2">
        <w:rPr>
          <w:b/>
          <w:i/>
          <w:iCs/>
          <w:sz w:val="24"/>
          <w:szCs w:val="24"/>
        </w:rPr>
        <w:t xml:space="preserve"> </w:t>
      </w:r>
      <w:r w:rsidR="00B873A7" w:rsidRPr="00B873A7">
        <w:rPr>
          <w:b/>
          <w:bCs/>
          <w:i/>
          <w:sz w:val="24"/>
          <w:szCs w:val="24"/>
        </w:rPr>
        <w:t xml:space="preserve">громадянину Артемчуку Олександру Михайловичу дозволу на розроблення </w:t>
      </w:r>
      <w:proofErr w:type="spellStart"/>
      <w:r w:rsidR="00B873A7" w:rsidRPr="00B873A7">
        <w:rPr>
          <w:b/>
          <w:bCs/>
          <w:i/>
          <w:sz w:val="24"/>
          <w:szCs w:val="24"/>
        </w:rPr>
        <w:t>проєкту</w:t>
      </w:r>
      <w:proofErr w:type="spellEnd"/>
      <w:r w:rsidR="00B873A7" w:rsidRPr="00B873A7">
        <w:rPr>
          <w:b/>
          <w:bCs/>
          <w:i/>
          <w:sz w:val="24"/>
          <w:szCs w:val="24"/>
        </w:rPr>
        <w:t xml:space="preserve"> землеустрою щодо відведення земельної ділянки у </w:t>
      </w:r>
      <w:r w:rsidR="00B873A7" w:rsidRPr="00B873A7">
        <w:rPr>
          <w:rStyle w:val="af"/>
          <w:b/>
          <w:sz w:val="24"/>
          <w:szCs w:val="24"/>
        </w:rPr>
        <w:t>власність</w:t>
      </w:r>
      <w:r w:rsidR="00B873A7" w:rsidRPr="00B873A7">
        <w:rPr>
          <w:b/>
          <w:bCs/>
          <w:i/>
          <w:sz w:val="24"/>
          <w:szCs w:val="24"/>
        </w:rPr>
        <w:t xml:space="preserve"> </w:t>
      </w:r>
      <w:r w:rsidR="00B873A7" w:rsidRPr="00B873A7">
        <w:rPr>
          <w:b/>
          <w:i/>
          <w:sz w:val="24"/>
          <w:szCs w:val="24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873A7" w:rsidRPr="00B873A7">
        <w:rPr>
          <w:b/>
          <w:bCs/>
          <w:i/>
          <w:sz w:val="24"/>
          <w:szCs w:val="24"/>
        </w:rPr>
        <w:t xml:space="preserve">на вул. Князів </w:t>
      </w:r>
      <w:proofErr w:type="spellStart"/>
      <w:r w:rsidR="00B873A7" w:rsidRPr="00B873A7">
        <w:rPr>
          <w:b/>
          <w:bCs/>
          <w:i/>
          <w:sz w:val="24"/>
          <w:szCs w:val="24"/>
        </w:rPr>
        <w:t>Ґедиміновичів</w:t>
      </w:r>
      <w:proofErr w:type="spellEnd"/>
      <w:r w:rsidR="00B873A7" w:rsidRPr="00B873A7">
        <w:rPr>
          <w:b/>
          <w:bCs/>
          <w:i/>
          <w:sz w:val="24"/>
          <w:szCs w:val="24"/>
        </w:rPr>
        <w:t>, 7-А</w:t>
      </w:r>
      <w:r w:rsidR="00B873A7">
        <w:rPr>
          <w:b/>
          <w:bCs/>
          <w:sz w:val="28"/>
          <w:szCs w:val="28"/>
        </w:rPr>
        <w:t xml:space="preserve"> </w:t>
      </w:r>
      <w:r w:rsidR="00AA7FEA" w:rsidRPr="0070402C">
        <w:rPr>
          <w:b/>
          <w:i/>
          <w:iCs/>
          <w:sz w:val="24"/>
          <w:szCs w:val="24"/>
        </w:rPr>
        <w:t>у Солом'янському районі м</w:t>
      </w:r>
      <w:r w:rsidR="00AA7FEA">
        <w:rPr>
          <w:b/>
          <w:i/>
          <w:iCs/>
          <w:sz w:val="24"/>
          <w:szCs w:val="24"/>
        </w:rPr>
        <w:t>іста</w:t>
      </w:r>
      <w:r w:rsidR="00AA7FEA" w:rsidRPr="0070402C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Артемчук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Олександр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Михайлович</w:t>
            </w:r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09.07.2024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652510119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12311DBD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B459CE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8000000000:72:535:0010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Солом'янський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Князів </w:t>
            </w:r>
            <w:proofErr w:type="spellStart"/>
            <w:r w:rsidR="00F66E0E" w:rsidRPr="009446B9">
              <w:rPr>
                <w:rFonts w:ascii="Times New Roman" w:hAnsi="Times New Roman" w:cs="Times New Roman"/>
                <w:bCs/>
                <w:i/>
              </w:rPr>
              <w:t>Ґедиміновичів</w:t>
            </w:r>
            <w:proofErr w:type="spellEnd"/>
            <w:r w:rsidR="00F66E0E" w:rsidRPr="009446B9">
              <w:rPr>
                <w:rFonts w:ascii="Times New Roman" w:hAnsi="Times New Roman" w:cs="Times New Roman"/>
                <w:bCs/>
                <w:i/>
              </w:rPr>
              <w:t>, 7-А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5CEBDAEE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0,10</w:t>
            </w:r>
            <w:r w:rsidR="00B459CE">
              <w:rPr>
                <w:rFonts w:ascii="Times New Roman" w:hAnsi="Times New Roman" w:cs="Times New Roman"/>
                <w:bCs/>
                <w:i/>
              </w:rPr>
              <w:t>00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322B26EC" w:rsidR="00F66E0E" w:rsidRPr="00ED10A2" w:rsidRDefault="00ED10A2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ED10A2">
              <w:rPr>
                <w:rFonts w:ascii="Times New Roman" w:hAnsi="Times New Roman" w:cs="Times New Roman"/>
                <w:i/>
                <w:iCs/>
              </w:rPr>
              <w:t>право в процесі оформлення (власність)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58C6B9F1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4C0F2281" w14:textId="77777777" w:rsidR="00B9446F" w:rsidRDefault="00B9446F" w:rsidP="00B9446F">
      <w:pPr>
        <w:pStyle w:val="1"/>
        <w:shd w:val="clear" w:color="auto" w:fill="auto"/>
        <w:spacing w:after="120" w:line="232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Метою прийняття рішення є </w:t>
      </w:r>
      <w:r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>
        <w:rPr>
          <w:sz w:val="24"/>
          <w:szCs w:val="24"/>
        </w:rPr>
        <w:t>.</w:t>
      </w:r>
    </w:p>
    <w:p w14:paraId="7BAB8361" w14:textId="338E3016" w:rsidR="00B9446F" w:rsidRPr="00E21D65" w:rsidRDefault="00B9446F" w:rsidP="00E21D65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120" w:line="233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B9446F" w14:paraId="038CE438" w14:textId="77777777" w:rsidTr="00B9446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1C3E" w14:textId="77777777" w:rsidR="00B9446F" w:rsidRDefault="00B9446F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Наявність будівель </w:t>
            </w:r>
          </w:p>
          <w:p w14:paraId="0034680B" w14:textId="77777777" w:rsidR="00B9446F" w:rsidRDefault="00B9446F">
            <w:pPr>
              <w:pStyle w:val="20"/>
              <w:shd w:val="clear" w:color="auto" w:fill="auto"/>
              <w:spacing w:line="208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і споруд на ділянці: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8A9" w14:textId="5D3694DE" w:rsidR="00B9446F" w:rsidRDefault="00B9446F" w:rsidP="0036358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На земельній ділянці розташован</w:t>
            </w:r>
            <w:r w:rsidR="00363585">
              <w:rPr>
                <w:i/>
                <w:sz w:val="24"/>
                <w:szCs w:val="24"/>
              </w:rPr>
              <w:t>і</w:t>
            </w:r>
            <w:r>
              <w:rPr>
                <w:i/>
                <w:sz w:val="24"/>
                <w:szCs w:val="24"/>
              </w:rPr>
              <w:t xml:space="preserve"> житловий будинок</w:t>
            </w:r>
            <w:r w:rsidR="00363585">
              <w:rPr>
                <w:i/>
                <w:sz w:val="24"/>
                <w:szCs w:val="24"/>
              </w:rPr>
              <w:t xml:space="preserve"> літера «А» </w:t>
            </w:r>
            <w:r>
              <w:rPr>
                <w:i/>
                <w:sz w:val="24"/>
                <w:szCs w:val="24"/>
              </w:rPr>
              <w:t xml:space="preserve">загальною площею </w:t>
            </w:r>
            <w:r w:rsidR="00363585">
              <w:rPr>
                <w:i/>
                <w:sz w:val="24"/>
                <w:szCs w:val="24"/>
              </w:rPr>
              <w:t>57,5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кв</w:t>
            </w:r>
            <w:proofErr w:type="spellEnd"/>
            <w:r>
              <w:rPr>
                <w:i/>
                <w:sz w:val="24"/>
                <w:szCs w:val="24"/>
              </w:rPr>
              <w:t>. м,</w:t>
            </w:r>
            <w:r w:rsidR="00363585">
              <w:rPr>
                <w:i/>
                <w:sz w:val="24"/>
                <w:szCs w:val="24"/>
              </w:rPr>
              <w:t xml:space="preserve"> сарай «Д», сарай «Г», погріб «Е», </w:t>
            </w:r>
            <w:r>
              <w:rPr>
                <w:i/>
                <w:sz w:val="24"/>
                <w:szCs w:val="24"/>
              </w:rPr>
              <w:t xml:space="preserve"> реєстраційний номер об'єкта нерухомого майна </w:t>
            </w:r>
            <w:r w:rsidR="00363585">
              <w:rPr>
                <w:i/>
                <w:sz w:val="24"/>
                <w:szCs w:val="24"/>
              </w:rPr>
              <w:t>262124278</w:t>
            </w:r>
            <w:r>
              <w:rPr>
                <w:i/>
                <w:sz w:val="24"/>
                <w:szCs w:val="24"/>
              </w:rPr>
              <w:t>0000, як</w:t>
            </w:r>
            <w:r w:rsidR="00363585">
              <w:rPr>
                <w:i/>
                <w:sz w:val="24"/>
                <w:szCs w:val="24"/>
              </w:rPr>
              <w:t>і</w:t>
            </w:r>
            <w:r>
              <w:rPr>
                <w:i/>
                <w:sz w:val="24"/>
                <w:szCs w:val="24"/>
              </w:rPr>
              <w:t xml:space="preserve"> на праві власності належ</w:t>
            </w:r>
            <w:r w:rsidR="00363585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ть гр. </w:t>
            </w:r>
            <w:r w:rsidR="00363585">
              <w:rPr>
                <w:i/>
                <w:sz w:val="24"/>
                <w:szCs w:val="24"/>
              </w:rPr>
              <w:t>Артемчуку О.М</w:t>
            </w:r>
            <w:r>
              <w:rPr>
                <w:i/>
                <w:sz w:val="24"/>
                <w:szCs w:val="24"/>
              </w:rPr>
              <w:t xml:space="preserve">., дата державної реєстрації </w:t>
            </w:r>
            <w:r w:rsidR="00363585">
              <w:rPr>
                <w:i/>
                <w:sz w:val="24"/>
                <w:szCs w:val="24"/>
              </w:rPr>
              <w:t>02</w:t>
            </w:r>
            <w:r>
              <w:rPr>
                <w:i/>
                <w:sz w:val="24"/>
                <w:szCs w:val="24"/>
              </w:rPr>
              <w:t>.0</w:t>
            </w:r>
            <w:r w:rsidR="00363585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.2022,  номер відомостей про речове право </w:t>
            </w:r>
            <w:r w:rsidR="00363585">
              <w:rPr>
                <w:i/>
                <w:sz w:val="24"/>
                <w:szCs w:val="24"/>
              </w:rPr>
              <w:t>47568087</w:t>
            </w:r>
            <w:r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18.07.2024</w:t>
            </w:r>
            <w:r w:rsidR="0036358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№ </w:t>
            </w:r>
            <w:r w:rsidR="00363585">
              <w:rPr>
                <w:i/>
                <w:sz w:val="24"/>
                <w:szCs w:val="24"/>
              </w:rPr>
              <w:t>387311559</w:t>
            </w:r>
            <w:r>
              <w:rPr>
                <w:i/>
                <w:sz w:val="24"/>
                <w:szCs w:val="24"/>
              </w:rPr>
              <w:t>).</w:t>
            </w:r>
          </w:p>
        </w:tc>
      </w:tr>
      <w:tr w:rsidR="00B9446F" w14:paraId="4EAF7FEA" w14:textId="77777777" w:rsidTr="00B9446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EDC4" w14:textId="77777777" w:rsidR="00B9446F" w:rsidRDefault="00B9446F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Наявність ДПТ: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6598" w14:textId="767C7F7C" w:rsidR="00B9446F" w:rsidRDefault="00B9446F" w:rsidP="000E1570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</w:t>
            </w:r>
            <w:r>
              <w:rPr>
                <w:i/>
                <w:snapToGrid w:val="0"/>
                <w:sz w:val="24"/>
                <w:szCs w:val="24"/>
              </w:rPr>
              <w:t>детального плану території мікрорайону Жуляни, затвердженого рішенням Київської міської ради від 14.06.2007 № 796/1457</w:t>
            </w:r>
            <w:r>
              <w:rPr>
                <w:i/>
                <w:sz w:val="24"/>
                <w:szCs w:val="24"/>
              </w:rPr>
              <w:t>, земельна ділянка за функціональним призначенням належить до території житлової садибної забудови (існуючі)</w:t>
            </w:r>
            <w:r>
              <w:rPr>
                <w:i/>
              </w:rPr>
              <w:t xml:space="preserve"> </w:t>
            </w:r>
            <w:r>
              <w:rPr>
                <w:i/>
                <w:snapToGrid w:val="0"/>
                <w:sz w:val="24"/>
                <w:szCs w:val="24"/>
              </w:rPr>
              <w:t>(довідка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10.07.2024 № 055-647</w:t>
            </w:r>
            <w:r w:rsidR="000E1570">
              <w:rPr>
                <w:i/>
                <w:snapToGrid w:val="0"/>
                <w:sz w:val="24"/>
                <w:szCs w:val="24"/>
              </w:rPr>
              <w:t>4</w:t>
            </w:r>
            <w:r>
              <w:rPr>
                <w:i/>
                <w:snapToGrid w:val="0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B9446F" w14:paraId="74A983F8" w14:textId="77777777" w:rsidTr="00B9446F">
        <w:trPr>
          <w:cantSplit/>
          <w:trHeight w:val="1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0C0D" w14:textId="77777777" w:rsidR="00B9446F" w:rsidRDefault="00B9446F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Функціональне призначення  </w:t>
            </w:r>
          </w:p>
          <w:p w14:paraId="319A129C" w14:textId="77777777" w:rsidR="00B9446F" w:rsidRDefault="00B9446F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згідно з Генпланом: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B3E0" w14:textId="77777777" w:rsidR="00B9446F" w:rsidRDefault="00B9446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від 28.03.2002 № 370/1804, земельна ділянка за функціональним призначенням належить до території житлової садибної забудови.  </w:t>
            </w:r>
          </w:p>
        </w:tc>
      </w:tr>
      <w:tr w:rsidR="00B9446F" w14:paraId="43B58E9A" w14:textId="77777777" w:rsidTr="00B9446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BB01" w14:textId="77777777" w:rsidR="00B9446F" w:rsidRDefault="00B9446F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Правовий режим: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DD38" w14:textId="77777777" w:rsidR="00B9446F" w:rsidRDefault="00B9446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9446F" w14:paraId="60959B97" w14:textId="77777777" w:rsidTr="00B9446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7AF2" w14:textId="77777777" w:rsidR="00B9446F" w:rsidRDefault="00B9446F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Розташування в зеленій зоні: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56F3" w14:textId="77777777" w:rsidR="00B9446F" w:rsidRDefault="00B9446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 до зеленої зони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B9446F" w14:paraId="724185E0" w14:textId="77777777" w:rsidTr="00B9446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DEAC" w14:textId="77777777" w:rsidR="00B9446F" w:rsidRDefault="00B9446F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Інші особливості: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5F20" w14:textId="77D87063" w:rsidR="00B9446F" w:rsidRPr="00851BA8" w:rsidRDefault="00B9446F">
            <w:pPr>
              <w:jc w:val="both"/>
              <w:rPr>
                <w:rStyle w:val="af"/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 з кадастровим номером 8000000000:72:5</w:t>
            </w:r>
            <w:r w:rsidR="00851BA8">
              <w:rPr>
                <w:rFonts w:ascii="Times New Roman" w:hAnsi="Times New Roman" w:cs="Times New Roman"/>
                <w:i/>
                <w:color w:val="auto"/>
              </w:rPr>
              <w:t>35</w:t>
            </w:r>
            <w:r>
              <w:rPr>
                <w:rFonts w:ascii="Times New Roman" w:hAnsi="Times New Roman" w:cs="Times New Roman"/>
                <w:i/>
                <w:color w:val="auto"/>
              </w:rPr>
              <w:t>:00</w:t>
            </w:r>
            <w:r w:rsidR="00851BA8">
              <w:rPr>
                <w:rFonts w:ascii="Times New Roman" w:hAnsi="Times New Roman" w:cs="Times New Roman"/>
                <w:i/>
                <w:color w:val="auto"/>
              </w:rPr>
              <w:t>10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сформована на підставі технічної документації із землеустрою щодо встановлення (відновлення) меж земельної ділянки в натурі (на місцевості) та зареєстрована в Державному земельному кадастрі з цільовим призначенням</w:t>
            </w:r>
            <w:r w:rsidR="00E21D65">
              <w:rPr>
                <w:rFonts w:ascii="Times New Roman" w:hAnsi="Times New Roman" w:cs="Times New Roman"/>
                <w:i/>
                <w:color w:val="auto"/>
              </w:rPr>
              <w:t>: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E21D65">
              <w:rPr>
                <w:rFonts w:ascii="Times New Roman" w:hAnsi="Times New Roman" w:cs="Times New Roman"/>
                <w:i/>
                <w:color w:val="auto"/>
              </w:rPr>
              <w:t xml:space="preserve">02.01 </w:t>
            </w:r>
            <w:r w:rsidR="00E21D65" w:rsidRPr="009446B9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851BA8">
              <w:rPr>
                <w:rStyle w:val="af"/>
                <w:rFonts w:ascii="Times New Roman" w:hAnsi="Times New Roman" w:cs="Times New Roman"/>
                <w:bCs/>
              </w:rPr>
              <w:t>.</w:t>
            </w:r>
          </w:p>
          <w:p w14:paraId="7D1B2504" w14:textId="77777777" w:rsidR="00B9446F" w:rsidRDefault="00B9446F">
            <w:pPr>
              <w:jc w:val="both"/>
              <w:rPr>
                <w:rFonts w:ascii="Times New Roman" w:hAnsi="Times New Roman" w:cs="Times New Roman"/>
              </w:rPr>
            </w:pPr>
            <w:r w:rsidRPr="00851BA8">
              <w:rPr>
                <w:rStyle w:val="af"/>
                <w:rFonts w:ascii="Times New Roman" w:hAnsi="Times New Roman" w:cs="Times New Roman"/>
                <w:bCs/>
              </w:rPr>
              <w:t xml:space="preserve">Рішення про передачу зазначеної земельної ділянки </w:t>
            </w:r>
            <w:r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1567F4DB" w14:textId="77777777" w:rsidR="00B9446F" w:rsidRDefault="00B9446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0292656" w14:textId="77777777" w:rsidR="00B9446F" w:rsidRDefault="00B9446F">
            <w:pPr>
              <w:pStyle w:val="af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55B09499" w14:textId="77777777" w:rsidR="00B9446F" w:rsidRDefault="00B9446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6B9C97A" w14:textId="77777777" w:rsidR="00B9446F" w:rsidRDefault="00B9446F" w:rsidP="00B9446F">
      <w:pPr>
        <w:rPr>
          <w:rFonts w:ascii="Times New Roman" w:hAnsi="Times New Roman" w:cs="Times New Roman"/>
          <w:i/>
        </w:rPr>
      </w:pPr>
    </w:p>
    <w:p w14:paraId="307324C3" w14:textId="77777777" w:rsidR="00B9446F" w:rsidRDefault="00B9446F" w:rsidP="00B9446F">
      <w:pPr>
        <w:pStyle w:val="1"/>
        <w:numPr>
          <w:ilvl w:val="0"/>
          <w:numId w:val="5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C5625B4" w14:textId="77777777" w:rsidR="00B9446F" w:rsidRDefault="00B9446F" w:rsidP="00B9446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 118 Земельного кодексу України.</w:t>
      </w:r>
    </w:p>
    <w:p w14:paraId="1FF15491" w14:textId="1DFF2A56" w:rsidR="00B9446F" w:rsidRPr="00E21D65" w:rsidRDefault="00B9446F" w:rsidP="00E21D65">
      <w:pPr>
        <w:pStyle w:val="1"/>
        <w:shd w:val="clear" w:color="auto" w:fill="auto"/>
        <w:tabs>
          <w:tab w:val="left" w:pos="0"/>
          <w:tab w:val="left" w:pos="426"/>
        </w:tabs>
        <w:spacing w:after="0"/>
        <w:jc w:val="both"/>
        <w:rPr>
          <w:sz w:val="24"/>
          <w:szCs w:val="24"/>
          <w:lang w:val="ru-RU"/>
        </w:rPr>
      </w:pPr>
      <w:proofErr w:type="spellStart"/>
      <w:r w:rsidRPr="00E21D65">
        <w:rPr>
          <w:sz w:val="24"/>
          <w:szCs w:val="24"/>
          <w:lang w:val="ru-RU"/>
        </w:rPr>
        <w:t>Проєкт</w:t>
      </w:r>
      <w:proofErr w:type="spellEnd"/>
      <w:r w:rsidRPr="00E21D65">
        <w:rPr>
          <w:sz w:val="24"/>
          <w:szCs w:val="24"/>
          <w:lang w:val="ru-RU"/>
        </w:rPr>
        <w:t xml:space="preserve"> </w:t>
      </w:r>
      <w:proofErr w:type="spellStart"/>
      <w:r w:rsidRPr="00E21D65">
        <w:rPr>
          <w:sz w:val="24"/>
          <w:szCs w:val="24"/>
          <w:lang w:val="ru-RU"/>
        </w:rPr>
        <w:t>рішення</w:t>
      </w:r>
      <w:proofErr w:type="spellEnd"/>
      <w:r w:rsidRPr="00E21D65">
        <w:rPr>
          <w:sz w:val="24"/>
          <w:szCs w:val="24"/>
          <w:lang w:val="ru-RU"/>
        </w:rPr>
        <w:t xml:space="preserve"> не </w:t>
      </w:r>
      <w:proofErr w:type="spellStart"/>
      <w:r w:rsidRPr="00E21D65">
        <w:rPr>
          <w:sz w:val="24"/>
          <w:szCs w:val="24"/>
          <w:lang w:val="ru-RU"/>
        </w:rPr>
        <w:t>стосується</w:t>
      </w:r>
      <w:proofErr w:type="spellEnd"/>
      <w:r w:rsidRPr="00E21D65">
        <w:rPr>
          <w:sz w:val="24"/>
          <w:szCs w:val="24"/>
          <w:lang w:val="ru-RU"/>
        </w:rPr>
        <w:t xml:space="preserve"> прав і </w:t>
      </w:r>
      <w:proofErr w:type="spellStart"/>
      <w:r w:rsidRPr="00E21D65">
        <w:rPr>
          <w:sz w:val="24"/>
          <w:szCs w:val="24"/>
          <w:lang w:val="ru-RU"/>
        </w:rPr>
        <w:t>соціальної</w:t>
      </w:r>
      <w:proofErr w:type="spellEnd"/>
      <w:r w:rsidRPr="00E21D65">
        <w:rPr>
          <w:sz w:val="24"/>
          <w:szCs w:val="24"/>
          <w:lang w:val="ru-RU"/>
        </w:rPr>
        <w:t xml:space="preserve"> </w:t>
      </w:r>
      <w:proofErr w:type="spellStart"/>
      <w:r w:rsidRPr="00E21D65">
        <w:rPr>
          <w:sz w:val="24"/>
          <w:szCs w:val="24"/>
          <w:lang w:val="ru-RU"/>
        </w:rPr>
        <w:t>захищеності</w:t>
      </w:r>
      <w:proofErr w:type="spellEnd"/>
      <w:r w:rsidRPr="00E21D65">
        <w:rPr>
          <w:sz w:val="24"/>
          <w:szCs w:val="24"/>
          <w:lang w:val="ru-RU"/>
        </w:rPr>
        <w:t xml:space="preserve"> </w:t>
      </w:r>
      <w:proofErr w:type="spellStart"/>
      <w:r w:rsidRPr="00E21D65">
        <w:rPr>
          <w:sz w:val="24"/>
          <w:szCs w:val="24"/>
          <w:lang w:val="ru-RU"/>
        </w:rPr>
        <w:t>осіб</w:t>
      </w:r>
      <w:proofErr w:type="spellEnd"/>
      <w:r w:rsidRPr="00E21D65">
        <w:rPr>
          <w:sz w:val="24"/>
          <w:szCs w:val="24"/>
          <w:lang w:val="ru-RU"/>
        </w:rPr>
        <w:t xml:space="preserve"> з </w:t>
      </w:r>
      <w:proofErr w:type="spellStart"/>
      <w:r w:rsidRPr="00E21D65">
        <w:rPr>
          <w:sz w:val="24"/>
          <w:szCs w:val="24"/>
          <w:lang w:val="ru-RU"/>
        </w:rPr>
        <w:t>інвалідністю</w:t>
      </w:r>
      <w:proofErr w:type="spellEnd"/>
      <w:r w:rsidRPr="00E21D65">
        <w:rPr>
          <w:sz w:val="24"/>
          <w:szCs w:val="24"/>
          <w:lang w:val="ru-RU"/>
        </w:rPr>
        <w:t xml:space="preserve"> та </w:t>
      </w:r>
      <w:r w:rsidR="00E21D65">
        <w:rPr>
          <w:sz w:val="24"/>
          <w:szCs w:val="24"/>
          <w:lang w:val="ru-RU"/>
        </w:rPr>
        <w:t xml:space="preserve">                       </w:t>
      </w:r>
      <w:r w:rsidRPr="00E21D65">
        <w:rPr>
          <w:sz w:val="24"/>
          <w:szCs w:val="24"/>
          <w:lang w:val="ru-RU"/>
        </w:rPr>
        <w:t xml:space="preserve">не </w:t>
      </w:r>
      <w:proofErr w:type="spellStart"/>
      <w:r w:rsidRPr="00E21D65">
        <w:rPr>
          <w:sz w:val="24"/>
          <w:szCs w:val="24"/>
          <w:lang w:val="ru-RU"/>
        </w:rPr>
        <w:t>матиме</w:t>
      </w:r>
      <w:proofErr w:type="spellEnd"/>
      <w:r w:rsidRPr="00E21D65">
        <w:rPr>
          <w:sz w:val="24"/>
          <w:szCs w:val="24"/>
          <w:lang w:val="ru-RU"/>
        </w:rPr>
        <w:t xml:space="preserve"> </w:t>
      </w:r>
      <w:proofErr w:type="spellStart"/>
      <w:r w:rsidRPr="00E21D65">
        <w:rPr>
          <w:sz w:val="24"/>
          <w:szCs w:val="24"/>
          <w:lang w:val="ru-RU"/>
        </w:rPr>
        <w:t>впливу</w:t>
      </w:r>
      <w:proofErr w:type="spellEnd"/>
      <w:r w:rsidRPr="00E21D65">
        <w:rPr>
          <w:sz w:val="24"/>
          <w:szCs w:val="24"/>
          <w:lang w:val="ru-RU"/>
        </w:rPr>
        <w:t xml:space="preserve"> на </w:t>
      </w:r>
      <w:proofErr w:type="spellStart"/>
      <w:r w:rsidRPr="00E21D65">
        <w:rPr>
          <w:sz w:val="24"/>
          <w:szCs w:val="24"/>
          <w:lang w:val="ru-RU"/>
        </w:rPr>
        <w:t>життєдіяльність</w:t>
      </w:r>
      <w:proofErr w:type="spellEnd"/>
      <w:r w:rsidRPr="00E21D65">
        <w:rPr>
          <w:sz w:val="24"/>
          <w:szCs w:val="24"/>
          <w:lang w:val="ru-RU"/>
        </w:rPr>
        <w:t xml:space="preserve"> </w:t>
      </w:r>
      <w:proofErr w:type="spellStart"/>
      <w:r w:rsidRPr="00E21D65">
        <w:rPr>
          <w:sz w:val="24"/>
          <w:szCs w:val="24"/>
          <w:lang w:val="ru-RU"/>
        </w:rPr>
        <w:t>цієї</w:t>
      </w:r>
      <w:proofErr w:type="spellEnd"/>
      <w:r w:rsidRPr="00E21D65">
        <w:rPr>
          <w:sz w:val="24"/>
          <w:szCs w:val="24"/>
          <w:lang w:val="ru-RU"/>
        </w:rPr>
        <w:t xml:space="preserve"> </w:t>
      </w:r>
      <w:proofErr w:type="spellStart"/>
      <w:r w:rsidRPr="00E21D65">
        <w:rPr>
          <w:sz w:val="24"/>
          <w:szCs w:val="24"/>
          <w:lang w:val="ru-RU"/>
        </w:rPr>
        <w:t>категорії</w:t>
      </w:r>
      <w:proofErr w:type="spellEnd"/>
      <w:r w:rsidRPr="00E21D65">
        <w:rPr>
          <w:sz w:val="24"/>
          <w:szCs w:val="24"/>
          <w:lang w:val="ru-RU"/>
        </w:rPr>
        <w:t>.</w:t>
      </w:r>
    </w:p>
    <w:p w14:paraId="084600EB" w14:textId="77777777" w:rsidR="00B9446F" w:rsidRDefault="00B9446F" w:rsidP="00B9446F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</w:rPr>
        <w:tab/>
      </w: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009DDA5E" w14:textId="77777777" w:rsidR="00B9446F" w:rsidRDefault="00B9446F" w:rsidP="00B9446F">
      <w:pPr>
        <w:pStyle w:val="1"/>
        <w:shd w:val="clear" w:color="auto" w:fill="auto"/>
        <w:tabs>
          <w:tab w:val="left" w:pos="0"/>
          <w:tab w:val="left" w:pos="426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42CEF4F5" w14:textId="77777777" w:rsidR="00B9446F" w:rsidRDefault="00B9446F" w:rsidP="00B9446F">
      <w:pPr>
        <w:pStyle w:val="1"/>
        <w:shd w:val="clear" w:color="auto" w:fill="auto"/>
        <w:tabs>
          <w:tab w:val="left" w:pos="0"/>
          <w:tab w:val="left" w:pos="426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</w:p>
    <w:p w14:paraId="18982650" w14:textId="77777777" w:rsidR="00B9446F" w:rsidRDefault="00B9446F" w:rsidP="00B9446F">
      <w:pPr>
        <w:pStyle w:val="1"/>
        <w:shd w:val="clear" w:color="auto" w:fill="auto"/>
        <w:tabs>
          <w:tab w:val="left" w:pos="0"/>
          <w:tab w:val="left" w:pos="426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</w:p>
    <w:p w14:paraId="200278B2" w14:textId="77777777" w:rsidR="00B9446F" w:rsidRDefault="00B9446F" w:rsidP="00B9446F">
      <w:pPr>
        <w:pStyle w:val="1"/>
        <w:shd w:val="clear" w:color="auto" w:fill="auto"/>
        <w:tabs>
          <w:tab w:val="left" w:pos="0"/>
          <w:tab w:val="left" w:pos="426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</w:p>
    <w:p w14:paraId="19DD0FE5" w14:textId="77777777" w:rsidR="00B9446F" w:rsidRDefault="00B9446F" w:rsidP="00B9446F">
      <w:pPr>
        <w:pStyle w:val="1"/>
        <w:shd w:val="clear" w:color="auto" w:fill="auto"/>
        <w:tabs>
          <w:tab w:val="left" w:pos="0"/>
          <w:tab w:val="left" w:pos="426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</w:p>
    <w:p w14:paraId="50B785C1" w14:textId="77777777" w:rsidR="00B9446F" w:rsidRPr="007535B8" w:rsidRDefault="00B9446F" w:rsidP="007535B8">
      <w:pPr>
        <w:pStyle w:val="1"/>
        <w:numPr>
          <w:ilvl w:val="0"/>
          <w:numId w:val="5"/>
        </w:numPr>
        <w:shd w:val="clear" w:color="auto" w:fill="auto"/>
        <w:tabs>
          <w:tab w:val="left" w:pos="728"/>
        </w:tabs>
        <w:spacing w:after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Фінансово-економічне обґрунтування.</w:t>
      </w:r>
    </w:p>
    <w:p w14:paraId="2B93147B" w14:textId="71F987F6" w:rsidR="00B9446F" w:rsidRDefault="00B9446F" w:rsidP="00B9446F">
      <w:pPr>
        <w:pStyle w:val="1"/>
        <w:shd w:val="clear" w:color="auto" w:fill="auto"/>
        <w:ind w:firstLine="426"/>
        <w:rPr>
          <w:sz w:val="24"/>
          <w:szCs w:val="24"/>
        </w:rPr>
      </w:pPr>
      <w:r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0CE1EE1E" w14:textId="77777777" w:rsidR="007535B8" w:rsidRDefault="007535B8" w:rsidP="00B9446F">
      <w:pPr>
        <w:pStyle w:val="1"/>
        <w:shd w:val="clear" w:color="auto" w:fill="auto"/>
        <w:ind w:firstLine="426"/>
        <w:rPr>
          <w:sz w:val="24"/>
          <w:szCs w:val="24"/>
        </w:rPr>
      </w:pPr>
    </w:p>
    <w:p w14:paraId="44858495" w14:textId="77777777" w:rsidR="00B9446F" w:rsidRPr="007535B8" w:rsidRDefault="00B9446F" w:rsidP="007535B8">
      <w:pPr>
        <w:pStyle w:val="1"/>
        <w:numPr>
          <w:ilvl w:val="0"/>
          <w:numId w:val="5"/>
        </w:numPr>
        <w:shd w:val="clear" w:color="auto" w:fill="auto"/>
        <w:tabs>
          <w:tab w:val="left" w:pos="708"/>
        </w:tabs>
        <w:spacing w:after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Прогноз соціально-економічних та інших наслідків прийняття ріш</w:t>
      </w:r>
      <w:bookmarkStart w:id="0" w:name="_GoBack"/>
      <w:bookmarkEnd w:id="0"/>
      <w:r>
        <w:rPr>
          <w:b/>
          <w:bCs/>
          <w:sz w:val="24"/>
          <w:szCs w:val="24"/>
        </w:rPr>
        <w:t>ення.</w:t>
      </w:r>
    </w:p>
    <w:p w14:paraId="513C100F" w14:textId="77777777" w:rsidR="00B9446F" w:rsidRDefault="00B9446F" w:rsidP="007535B8">
      <w:pPr>
        <w:pStyle w:val="1"/>
        <w:shd w:val="clear" w:color="auto" w:fill="auto"/>
        <w:spacing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0840F7AE" w14:textId="77777777" w:rsidR="00B9446F" w:rsidRDefault="00B9446F" w:rsidP="00B9446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B873A7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AAC3" w14:textId="77777777" w:rsidR="009143F7" w:rsidRDefault="009143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45D" w14:textId="77777777" w:rsidR="009143F7" w:rsidRDefault="0091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F2A7" w14:textId="77777777" w:rsidR="009143F7" w:rsidRDefault="009143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0A28CBF4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B873A7">
      <w:rPr>
        <w:sz w:val="12"/>
        <w:szCs w:val="12"/>
        <w:lang w:val="ru-RU"/>
      </w:rPr>
      <w:t>ПЗН-68350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18.07.2024</w:t>
    </w:r>
    <w:r w:rsidR="00862990">
      <w:rPr>
        <w:sz w:val="12"/>
        <w:szCs w:val="12"/>
      </w:rPr>
      <w:t xml:space="preserve"> до</w:t>
    </w:r>
    <w:r w:rsidR="000A1B6D">
      <w:rPr>
        <w:sz w:val="12"/>
        <w:szCs w:val="12"/>
      </w:rPr>
      <w:t xml:space="preserve"> справи</w:t>
    </w:r>
    <w:r w:rsidR="00862990">
      <w:rPr>
        <w:sz w:val="12"/>
        <w:szCs w:val="12"/>
      </w:rPr>
      <w:t xml:space="preserve"> 652510119</w:t>
    </w:r>
  </w:p>
  <w:p w14:paraId="2E60DAB9" w14:textId="327808D5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A5B44" w:rsidRPr="00DA5B4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C6A1" w14:textId="77777777" w:rsidR="009143F7" w:rsidRDefault="009143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1B6D"/>
    <w:rsid w:val="000A71E1"/>
    <w:rsid w:val="000E1570"/>
    <w:rsid w:val="000F1896"/>
    <w:rsid w:val="000F7620"/>
    <w:rsid w:val="00110C03"/>
    <w:rsid w:val="00114807"/>
    <w:rsid w:val="001409D2"/>
    <w:rsid w:val="00154335"/>
    <w:rsid w:val="00175FD0"/>
    <w:rsid w:val="001D6DF8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3585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32DD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35B8"/>
    <w:rsid w:val="0075609F"/>
    <w:rsid w:val="00765699"/>
    <w:rsid w:val="007737A7"/>
    <w:rsid w:val="007870B5"/>
    <w:rsid w:val="00797ACC"/>
    <w:rsid w:val="007A7E4D"/>
    <w:rsid w:val="007B7541"/>
    <w:rsid w:val="007C4D40"/>
    <w:rsid w:val="007D3687"/>
    <w:rsid w:val="007E7E38"/>
    <w:rsid w:val="00804744"/>
    <w:rsid w:val="008145CF"/>
    <w:rsid w:val="0081493A"/>
    <w:rsid w:val="00830DB0"/>
    <w:rsid w:val="008311C1"/>
    <w:rsid w:val="00836982"/>
    <w:rsid w:val="0084529A"/>
    <w:rsid w:val="00851BA8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459CE"/>
    <w:rsid w:val="00B4608F"/>
    <w:rsid w:val="00B76A35"/>
    <w:rsid w:val="00B873A7"/>
    <w:rsid w:val="00B90FAD"/>
    <w:rsid w:val="00B9446F"/>
    <w:rsid w:val="00B975D8"/>
    <w:rsid w:val="00BA02ED"/>
    <w:rsid w:val="00BA3AB4"/>
    <w:rsid w:val="00BB2AE1"/>
    <w:rsid w:val="00BC2427"/>
    <w:rsid w:val="00BD4A71"/>
    <w:rsid w:val="00C12782"/>
    <w:rsid w:val="00C12A4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A5B44"/>
    <w:rsid w:val="00DB1C69"/>
    <w:rsid w:val="00DC483F"/>
    <w:rsid w:val="00DC6EFC"/>
    <w:rsid w:val="00DE6903"/>
    <w:rsid w:val="00E04075"/>
    <w:rsid w:val="00E12AFC"/>
    <w:rsid w:val="00E15570"/>
    <w:rsid w:val="00E17376"/>
    <w:rsid w:val="00E21D65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10A2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B944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5687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Шабельник Вероніка Сергіївна</dc:creator>
  <cp:keywords>{"doc_type_id":110,"doc_type_name":"Пояснювальна_записка Фіз передача дозвіл (клопотання)","doc_type_file":"Фіз_клопотання_дозвіл.docx"}</cp:keywords>
  <cp:lastModifiedBy>Рабець Максим Миколайович</cp:lastModifiedBy>
  <cp:revision>10</cp:revision>
  <cp:lastPrinted>2024-08-01T08:24:00Z</cp:lastPrinted>
  <dcterms:created xsi:type="dcterms:W3CDTF">2024-07-18T10:05:00Z</dcterms:created>
  <dcterms:modified xsi:type="dcterms:W3CDTF">2024-08-01T08:54:00Z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2024-07-24T13:27:36Z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68b764e5-1c75-4196-938e-c63d42beba4c</vt:lpwstr>
  </property>
  <property fmtid="{D5CDD505-2E9C-101B-9397-08002B2CF9AE}" pid="8" name="MSIP_Label_defa4170-0d19-0005-0004-bc88714345d2_ContentBits">
    <vt:lpwstr>0</vt:lpwstr>
  </property>
</Properties>
</file>