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647042703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647042703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087F9E">
        <w:rPr>
          <w:b/>
          <w:bCs/>
          <w:sz w:val="24"/>
          <w:szCs w:val="24"/>
          <w:lang w:val="ru-RU"/>
        </w:rPr>
        <w:t>ПЗН-71304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087F9E">
        <w:rPr>
          <w:b/>
          <w:bCs/>
          <w:sz w:val="24"/>
          <w:szCs w:val="24"/>
          <w:lang w:val="ru-RU"/>
        </w:rPr>
        <w:t>19.09.2024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7504564E" w:rsidR="00E17376" w:rsidRPr="006635A8" w:rsidRDefault="006635A8" w:rsidP="006635A8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i/>
          <w:sz w:val="22"/>
          <w:szCs w:val="24"/>
        </w:rPr>
      </w:pPr>
      <w:r w:rsidRPr="006635A8">
        <w:rPr>
          <w:b/>
          <w:bCs/>
          <w:i/>
          <w:sz w:val="24"/>
          <w:szCs w:val="28"/>
        </w:rPr>
        <w:t>Про передачу громадянину Ткачуку Леоніду Івановичу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Лейбніца, 18 у Деснянському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Ткачук Леонід Іванович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13.09.2024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647042703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8000000000:62:146:0626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Лейбніца, 18 у Деснянському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4FF94C50" w:rsidR="00E659C4" w:rsidRPr="00EA27C8" w:rsidRDefault="00F27864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F2F8C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F27864" w14:paraId="77C46950" w14:textId="77777777" w:rsidTr="00EA27C8">
        <w:tc>
          <w:tcPr>
            <w:tcW w:w="3374" w:type="dxa"/>
          </w:tcPr>
          <w:p w14:paraId="0E1FD0D9" w14:textId="4C140CC4" w:rsidR="00F27864" w:rsidRDefault="00F27864" w:rsidP="00F27864">
            <w:pPr>
              <w:pStyle w:val="a7"/>
              <w:shd w:val="clear" w:color="auto" w:fill="auto"/>
              <w:spacing w:line="240" w:lineRule="auto"/>
              <w:ind w:left="-142" w:firstLine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Категорія земель:</w:t>
            </w:r>
          </w:p>
        </w:tc>
        <w:tc>
          <w:tcPr>
            <w:tcW w:w="6373" w:type="dxa"/>
          </w:tcPr>
          <w:p w14:paraId="759BDEEF" w14:textId="42692D75" w:rsidR="00F27864" w:rsidRPr="00EA27C8" w:rsidRDefault="004217D9" w:rsidP="00EA27C8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7626F84A" w:rsidR="00E659C4" w:rsidRDefault="00F27864" w:rsidP="00F27864">
            <w:pPr>
              <w:pStyle w:val="a7"/>
              <w:shd w:val="clear" w:color="auto" w:fill="auto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DA5E44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Pr="00DA5E44">
              <w:rPr>
                <w:b w:val="0"/>
                <w:i/>
                <w:sz w:val="24"/>
                <w:szCs w:val="24"/>
              </w:rPr>
              <w:t>:</w:t>
            </w:r>
            <w:r w:rsidRPr="003774B2">
              <w:rPr>
                <w:b w:val="0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373" w:type="dxa"/>
          </w:tcPr>
          <w:p w14:paraId="1AB1CB5D" w14:textId="2A021EF4" w:rsidR="00E659C4" w:rsidRPr="00EA27C8" w:rsidRDefault="004217D9" w:rsidP="006635A8">
            <w:pPr>
              <w:pStyle w:val="a7"/>
              <w:shd w:val="clear" w:color="auto" w:fill="auto"/>
              <w:spacing w:line="240" w:lineRule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02.01. </w:t>
            </w:r>
            <w:r w:rsidRPr="005C6437">
              <w:rPr>
                <w:b w:val="0"/>
                <w:i/>
                <w:sz w:val="24"/>
                <w:szCs w:val="24"/>
              </w:rPr>
              <w:t>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5C6437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5C6437">
              <w:rPr>
                <w:b w:val="0"/>
                <w:i/>
                <w:sz w:val="24"/>
                <w:szCs w:val="24"/>
              </w:rPr>
              <w:t>го будинку, господарських будівель і споруд</w:t>
            </w:r>
            <w:r>
              <w:rPr>
                <w:b w:val="0"/>
                <w:i/>
                <w:sz w:val="24"/>
                <w:szCs w:val="24"/>
              </w:rPr>
              <w:t xml:space="preserve">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0A20DFC3" w14:textId="40DFED81" w:rsidR="004217D9" w:rsidRDefault="004217D9" w:rsidP="004217D9">
      <w:pPr>
        <w:pStyle w:val="1"/>
        <w:shd w:val="clear" w:color="auto" w:fill="auto"/>
        <w:tabs>
          <w:tab w:val="left" w:pos="426"/>
        </w:tabs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землеустрою щодо відведення земельної ділянки, </w:t>
      </w:r>
      <w:r>
        <w:rPr>
          <w:sz w:val="24"/>
          <w:szCs w:val="24"/>
        </w:rPr>
        <w:t>на підставі якого та в</w:t>
      </w:r>
      <w:r w:rsidRPr="00DF2891">
        <w:rPr>
          <w:sz w:val="24"/>
          <w:szCs w:val="24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від 20.04.2017 </w:t>
      </w:r>
      <w:r>
        <w:rPr>
          <w:sz w:val="24"/>
          <w:szCs w:val="24"/>
        </w:rPr>
        <w:t xml:space="preserve">                   </w:t>
      </w:r>
      <w:r w:rsidRPr="00DF2891">
        <w:rPr>
          <w:sz w:val="24"/>
          <w:szCs w:val="24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2A3504D2" w14:textId="77777777" w:rsidR="004217D9" w:rsidRPr="003774B2" w:rsidRDefault="004217D9" w:rsidP="004217D9">
      <w:pPr>
        <w:pStyle w:val="1"/>
        <w:shd w:val="clear" w:color="auto" w:fill="auto"/>
        <w:tabs>
          <w:tab w:val="left" w:pos="671"/>
        </w:tabs>
        <w:spacing w:after="40"/>
        <w:ind w:left="400" w:firstLine="0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046A2351" w:rsidR="00E12AC0" w:rsidRPr="00AB0C80" w:rsidRDefault="00C2624F" w:rsidP="00AB0C8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AB0C80">
              <w:rPr>
                <w:i/>
                <w:sz w:val="24"/>
                <w:szCs w:val="24"/>
              </w:rPr>
              <w:t>Земельна ділянка з</w:t>
            </w:r>
            <w:r w:rsidR="00E12AC0" w:rsidRPr="00AB0C80">
              <w:rPr>
                <w:i/>
                <w:sz w:val="24"/>
                <w:szCs w:val="24"/>
              </w:rPr>
              <w:t>абудована</w:t>
            </w:r>
            <w:r w:rsidR="00063928" w:rsidRPr="00AB0C80">
              <w:rPr>
                <w:i/>
                <w:sz w:val="24"/>
                <w:szCs w:val="24"/>
              </w:rPr>
              <w:t xml:space="preserve"> - розташований індивідуальний житловий будинок котеджного типу № 18 площею 404,10 кв. м, що перебуває у приватній власності Ткачука Л.І. на підставі свідоцтва про право власності </w:t>
            </w:r>
            <w:r w:rsidR="00AB0C80" w:rsidRPr="00AB0C80">
              <w:rPr>
                <w:i/>
                <w:sz w:val="24"/>
                <w:szCs w:val="24"/>
              </w:rPr>
              <w:t>САЕ 804712 від 20.09.2012 (</w:t>
            </w:r>
            <w:r w:rsidR="00AB0C80" w:rsidRPr="00AB0C80">
              <w:rPr>
                <w:i/>
                <w:color w:val="auto"/>
                <w:sz w:val="24"/>
                <w:szCs w:val="24"/>
              </w:rPr>
              <w:t xml:space="preserve">інформація з Державного реєстру речових прав на нерухоме майно про реєстрацію права власності від </w:t>
            </w:r>
            <w:r w:rsidR="00AB0C80" w:rsidRPr="00AB0C80">
              <w:rPr>
                <w:i/>
                <w:sz w:val="24"/>
                <w:szCs w:val="24"/>
              </w:rPr>
              <w:t>19.09.2024</w:t>
            </w:r>
            <w:r w:rsidR="00AB0C80" w:rsidRPr="00AB0C80">
              <w:rPr>
                <w:i/>
                <w:color w:val="auto"/>
                <w:sz w:val="24"/>
                <w:szCs w:val="24"/>
              </w:rPr>
              <w:t xml:space="preserve"> №</w:t>
            </w:r>
            <w:r w:rsidR="00AB0C80" w:rsidRPr="00AB0C80">
              <w:rPr>
                <w:i/>
                <w:sz w:val="24"/>
                <w:szCs w:val="24"/>
              </w:rPr>
              <w:t xml:space="preserve"> 395709270</w:t>
            </w:r>
            <w:r w:rsidR="00AB0C80" w:rsidRPr="00AB0C80">
              <w:rPr>
                <w:i/>
                <w:color w:val="auto"/>
                <w:sz w:val="24"/>
                <w:szCs w:val="24"/>
              </w:rPr>
              <w:t>)</w:t>
            </w:r>
            <w:r w:rsidR="00096F55" w:rsidRPr="00AB0C80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44C55D8C" w14:textId="77777777" w:rsidTr="00087F9E">
        <w:trPr>
          <w:cantSplit/>
          <w:trHeight w:val="457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35B1C908" w14:textId="2E2EABCF" w:rsidR="00087F9E" w:rsidRDefault="00087F9E" w:rsidP="00087F9E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C5EB1">
              <w:rPr>
                <w:i/>
                <w:sz w:val="24"/>
                <w:szCs w:val="24"/>
              </w:rPr>
              <w:t>Відповідно до Генерального плану міста Києва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2F8C">
              <w:rPr>
                <w:i/>
                <w:color w:val="auto"/>
                <w:sz w:val="24"/>
                <w:szCs w:val="24"/>
              </w:rPr>
              <w:t>та проекту планування його приміської зони на період до 2020 року</w:t>
            </w:r>
            <w:r w:rsidRPr="009C5EB1">
              <w:rPr>
                <w:i/>
                <w:sz w:val="24"/>
                <w:szCs w:val="24"/>
              </w:rPr>
              <w:t>, затвердженого рішенням Київської міської ради від 2</w:t>
            </w:r>
            <w:r w:rsidR="00BA6FEB">
              <w:rPr>
                <w:i/>
                <w:sz w:val="24"/>
                <w:szCs w:val="24"/>
              </w:rPr>
              <w:t xml:space="preserve">8 березня 2002 року № 370/1804, земельна ділянка </w:t>
            </w:r>
            <w:r w:rsidRPr="009C5EB1">
              <w:rPr>
                <w:i/>
                <w:sz w:val="24"/>
                <w:szCs w:val="24"/>
              </w:rPr>
              <w:t>за функціональним призначенням належить до території громадських будівель та споруд</w:t>
            </w:r>
            <w:r>
              <w:rPr>
                <w:i/>
                <w:sz w:val="24"/>
                <w:szCs w:val="24"/>
              </w:rPr>
              <w:t xml:space="preserve"> (витяг з містобудівної документації від 21.08.2024 № 055-7850, наданий Департаментом містобудування та архітектури виконавчого органу Київської міської ради (Київської місько</w:t>
            </w:r>
            <w:r w:rsidR="004217D9">
              <w:rPr>
                <w:i/>
                <w:sz w:val="24"/>
                <w:szCs w:val="24"/>
              </w:rPr>
              <w:t>ї державної адміністрації).</w:t>
            </w:r>
          </w:p>
          <w:p w14:paraId="14888231" w14:textId="0079F80D" w:rsidR="00E12AC0" w:rsidRPr="00E12AC0" w:rsidRDefault="00087F9E" w:rsidP="00087F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9C5EB1">
              <w:rPr>
                <w:i/>
                <w:sz w:val="24"/>
                <w:szCs w:val="24"/>
              </w:rPr>
              <w:t>ішення</w:t>
            </w:r>
            <w:r>
              <w:rPr>
                <w:i/>
                <w:sz w:val="24"/>
                <w:szCs w:val="24"/>
              </w:rPr>
              <w:t>м</w:t>
            </w:r>
            <w:r w:rsidRPr="009C5EB1">
              <w:rPr>
                <w:i/>
                <w:sz w:val="24"/>
                <w:szCs w:val="24"/>
              </w:rPr>
              <w:t xml:space="preserve"> Київської міської ради від 28.03.2002 №</w:t>
            </w:r>
            <w:r>
              <w:rPr>
                <w:i/>
                <w:sz w:val="24"/>
                <w:szCs w:val="24"/>
              </w:rPr>
              <w:t> </w:t>
            </w:r>
            <w:r w:rsidRPr="009C5EB1">
              <w:rPr>
                <w:i/>
                <w:sz w:val="24"/>
                <w:szCs w:val="24"/>
              </w:rPr>
              <w:t xml:space="preserve">380-4/1814 </w:t>
            </w:r>
            <w:r>
              <w:rPr>
                <w:i/>
                <w:sz w:val="24"/>
                <w:szCs w:val="24"/>
              </w:rPr>
              <w:t>земельну ділянку (</w:t>
            </w:r>
            <w:r w:rsidRPr="009C5EB1">
              <w:rPr>
                <w:i/>
                <w:sz w:val="24"/>
                <w:szCs w:val="24"/>
              </w:rPr>
              <w:t>кадастрови</w:t>
            </w:r>
            <w:r>
              <w:rPr>
                <w:i/>
                <w:sz w:val="24"/>
                <w:szCs w:val="24"/>
              </w:rPr>
              <w:t>й номер</w:t>
            </w:r>
            <w:r w:rsidRPr="009C5EB1">
              <w:rPr>
                <w:i/>
                <w:sz w:val="24"/>
                <w:szCs w:val="24"/>
              </w:rPr>
              <w:t xml:space="preserve"> 8000000000:62:146:0015</w:t>
            </w:r>
            <w:r>
              <w:rPr>
                <w:i/>
                <w:sz w:val="24"/>
                <w:szCs w:val="24"/>
              </w:rPr>
              <w:t xml:space="preserve">) було </w:t>
            </w:r>
            <w:r w:rsidRPr="009C5EB1">
              <w:rPr>
                <w:i/>
                <w:sz w:val="24"/>
                <w:szCs w:val="24"/>
              </w:rPr>
              <w:t>переда</w:t>
            </w:r>
            <w:r>
              <w:rPr>
                <w:i/>
                <w:sz w:val="24"/>
                <w:szCs w:val="24"/>
              </w:rPr>
              <w:t>но</w:t>
            </w:r>
            <w:r w:rsidRPr="009C5EB1">
              <w:rPr>
                <w:i/>
                <w:sz w:val="24"/>
                <w:szCs w:val="24"/>
              </w:rPr>
              <w:t xml:space="preserve"> в оренду</w:t>
            </w:r>
            <w:r>
              <w:rPr>
                <w:i/>
                <w:sz w:val="24"/>
                <w:szCs w:val="24"/>
              </w:rPr>
              <w:t xml:space="preserve"> підприємству «Вертикаль» Благодійного фонду «Дзвін надії»</w:t>
            </w:r>
            <w:r w:rsidRPr="00EF73E2">
              <w:rPr>
                <w:i/>
                <w:sz w:val="24"/>
                <w:szCs w:val="24"/>
              </w:rPr>
              <w:t xml:space="preserve">  для будівництва, експлуатації та обслуговування індивідуальних будинків котеджного типу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20BC7095" w14:textId="0BBA3B81" w:rsidR="00AE5ABE" w:rsidRPr="009A4BB7" w:rsidRDefault="00AE5ABE" w:rsidP="00AE5ABE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A4BB7">
              <w:rPr>
                <w:i/>
                <w:sz w:val="24"/>
                <w:szCs w:val="24"/>
              </w:rPr>
              <w:t>Земельна ділянка (кадастровий номер 8000000000:62:146:</w:t>
            </w:r>
            <w:r>
              <w:rPr>
                <w:i/>
                <w:sz w:val="24"/>
                <w:szCs w:val="24"/>
              </w:rPr>
              <w:t>0</w:t>
            </w:r>
            <w:r w:rsidR="002A3DBC">
              <w:rPr>
                <w:i/>
                <w:sz w:val="24"/>
                <w:szCs w:val="24"/>
              </w:rPr>
              <w:t>626</w:t>
            </w:r>
            <w:r w:rsidRPr="009A4BB7">
              <w:rPr>
                <w:i/>
                <w:sz w:val="24"/>
                <w:szCs w:val="24"/>
              </w:rPr>
              <w:t>) сформована в результаті поділу земельної ділянки з кадастровим номером 8000000000:62:146:0015, яка  відповідно до рішення Київської міської ради від 28.03.2002 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A4BB7">
              <w:rPr>
                <w:i/>
                <w:sz w:val="24"/>
                <w:szCs w:val="24"/>
              </w:rPr>
              <w:t>380-4/1814</w:t>
            </w:r>
            <w:r>
              <w:rPr>
                <w:i/>
                <w:sz w:val="24"/>
                <w:szCs w:val="24"/>
              </w:rPr>
              <w:t xml:space="preserve"> (зі змінами і доповненнями) </w:t>
            </w:r>
            <w:r w:rsidRPr="009A4BB7">
              <w:rPr>
                <w:i/>
                <w:sz w:val="24"/>
                <w:szCs w:val="24"/>
              </w:rPr>
              <w:t>передавалася в</w:t>
            </w:r>
            <w:r w:rsidR="008A0A13">
              <w:rPr>
                <w:i/>
                <w:sz w:val="24"/>
                <w:szCs w:val="24"/>
              </w:rPr>
              <w:t xml:space="preserve"> короткострокову </w:t>
            </w:r>
            <w:r w:rsidRPr="009A4BB7">
              <w:rPr>
                <w:i/>
                <w:sz w:val="24"/>
                <w:szCs w:val="24"/>
              </w:rPr>
              <w:t xml:space="preserve"> оренду</w:t>
            </w:r>
            <w:r w:rsidR="008A0A13">
              <w:rPr>
                <w:i/>
                <w:sz w:val="24"/>
                <w:szCs w:val="24"/>
              </w:rPr>
              <w:t xml:space="preserve"> на 5 років </w:t>
            </w:r>
            <w:r w:rsidRPr="009A4BB7">
              <w:rPr>
                <w:i/>
                <w:sz w:val="24"/>
                <w:szCs w:val="24"/>
              </w:rPr>
              <w:t xml:space="preserve">підприємству «Вертикаль» </w:t>
            </w:r>
            <w:r>
              <w:rPr>
                <w:i/>
                <w:sz w:val="24"/>
                <w:szCs w:val="24"/>
              </w:rPr>
              <w:t>«</w:t>
            </w:r>
            <w:r w:rsidRPr="009A4BB7">
              <w:rPr>
                <w:i/>
                <w:sz w:val="24"/>
                <w:szCs w:val="24"/>
              </w:rPr>
              <w:t xml:space="preserve">Благодійного фонду «Дзвін надії»  для будівництва, експлуатації та обслуговування індивідуальних будинків котеджного типу в селищі Троєщина </w:t>
            </w:r>
            <w:r>
              <w:rPr>
                <w:i/>
                <w:sz w:val="24"/>
                <w:szCs w:val="24"/>
              </w:rPr>
              <w:t xml:space="preserve">між </w:t>
            </w:r>
            <w:r w:rsidRPr="009A4BB7">
              <w:rPr>
                <w:i/>
                <w:sz w:val="24"/>
                <w:szCs w:val="24"/>
              </w:rPr>
              <w:t xml:space="preserve">вул. Леніна та вул. Толстого у Деснянському районі м. Києва (договір оренди </w:t>
            </w:r>
            <w:r>
              <w:rPr>
                <w:i/>
                <w:sz w:val="24"/>
                <w:szCs w:val="24"/>
              </w:rPr>
              <w:t>земельної ділянки</w:t>
            </w:r>
            <w:r w:rsidR="008A0A13">
              <w:rPr>
                <w:i/>
                <w:sz w:val="24"/>
                <w:szCs w:val="24"/>
              </w:rPr>
              <w:t xml:space="preserve"> </w:t>
            </w:r>
            <w:r w:rsidRPr="009A4BB7">
              <w:rPr>
                <w:i/>
                <w:sz w:val="24"/>
                <w:szCs w:val="24"/>
              </w:rPr>
              <w:t>від 11.03.2003 № 62-6-00053 (з урахуванням угоди про внесення змін до договору оренди земельної ділянки від 04.02.2005 № 62-6-00196 та угоди до договору оренди земельної ділянки від 31.10.2008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A4BB7">
              <w:rPr>
                <w:i/>
                <w:sz w:val="24"/>
                <w:szCs w:val="24"/>
              </w:rPr>
              <w:t xml:space="preserve">№ 62-6-00504). </w:t>
            </w:r>
            <w:r>
              <w:rPr>
                <w:i/>
                <w:sz w:val="24"/>
                <w:szCs w:val="24"/>
              </w:rPr>
              <w:t xml:space="preserve">Термін </w:t>
            </w:r>
            <w:r w:rsidRPr="009A4BB7">
              <w:rPr>
                <w:i/>
                <w:sz w:val="24"/>
                <w:szCs w:val="24"/>
              </w:rPr>
              <w:t>дії договору до 31.10.2013.</w:t>
            </w:r>
          </w:p>
          <w:p w14:paraId="7837B68D" w14:textId="77777777" w:rsidR="00AE5ABE" w:rsidRPr="009A4BB7" w:rsidRDefault="00AE5ABE" w:rsidP="00AE5ABE">
            <w:pPr>
              <w:pStyle w:val="af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9A4BB7">
              <w:rPr>
                <w:i/>
                <w:iCs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у власність земельної ділянки або про відмову у її </w:t>
            </w:r>
            <w:r>
              <w:rPr>
                <w:i/>
                <w:iCs/>
                <w:bdr w:val="none" w:sz="0" w:space="0" w:color="auto" w:frame="1"/>
                <w:lang w:val="uk-UA"/>
              </w:rPr>
              <w:t>передачі</w:t>
            </w:r>
            <w:r w:rsidRPr="009A4BB7">
              <w:rPr>
                <w:i/>
                <w:iCs/>
                <w:bdr w:val="none" w:sz="0" w:space="0" w:color="auto" w:frame="1"/>
                <w:lang w:val="uk-UA"/>
              </w:rPr>
              <w:t>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0C6348CB" w14:textId="77777777" w:rsidR="00AE5ABE" w:rsidRPr="009A4BB7" w:rsidRDefault="00AE5ABE" w:rsidP="00AE5ABE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  <w:r w:rsidRPr="009A4BB7">
              <w:rPr>
                <w:i/>
                <w:iCs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57EC5A1A" w:rsidR="00812178" w:rsidRPr="003774B2" w:rsidRDefault="00AE5ABE" w:rsidP="00AE5A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A4BB7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0CE16FF1" w:rsidR="00765699" w:rsidRDefault="00765699" w:rsidP="003774B2">
      <w:pPr>
        <w:rPr>
          <w:rFonts w:ascii="Times New Roman" w:hAnsi="Times New Roman" w:cs="Times New Roman"/>
          <w:i/>
        </w:rPr>
      </w:pPr>
    </w:p>
    <w:p w14:paraId="3F901E68" w14:textId="77777777" w:rsidR="00063928" w:rsidRPr="003774B2" w:rsidRDefault="00063928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Стан нормативно-правової бази у даній сфері правового регулювання.</w:t>
      </w:r>
    </w:p>
    <w:p w14:paraId="7E2AECB4" w14:textId="0363C31B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</w:t>
      </w:r>
      <w:bookmarkStart w:id="0" w:name="_GoBack"/>
      <w:bookmarkEnd w:id="0"/>
      <w:r w:rsidRPr="00DF2891">
        <w:rPr>
          <w:sz w:val="24"/>
          <w:szCs w:val="24"/>
        </w:rPr>
        <w:t xml:space="preserve">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18ECA84E" w14:textId="77777777" w:rsidR="002A3DBC" w:rsidRPr="004C70AC" w:rsidRDefault="002A3DBC" w:rsidP="002A3DBC">
      <w:pPr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4C70AC">
        <w:rPr>
          <w:rFonts w:ascii="Times New Roman" w:eastAsia="Times New Roman" w:hAnsi="Times New Roman" w:cs="Times New Roman"/>
          <w:color w:val="auto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A01861C" w14:textId="77777777" w:rsidR="002A3DBC" w:rsidRPr="004C70AC" w:rsidRDefault="002A3DBC" w:rsidP="002A3DBC">
      <w:pPr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4C70AC">
        <w:rPr>
          <w:rFonts w:ascii="Times New Roman" w:eastAsia="Times New Roman" w:hAnsi="Times New Roman" w:cs="Times New Roman"/>
          <w:color w:val="auto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782CED8" w14:textId="77777777" w:rsidR="002A3DBC" w:rsidRPr="004C70AC" w:rsidRDefault="002A3DBC" w:rsidP="002A3DBC">
      <w:pPr>
        <w:shd w:val="clear" w:color="auto" w:fill="FFFFFF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4C70AC">
        <w:rPr>
          <w:rFonts w:ascii="Times New Roman" w:eastAsia="Times New Roman" w:hAnsi="Times New Roman" w:cs="Times New Roman"/>
          <w:color w:val="auto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8265DDA" w14:textId="5503AC1D" w:rsidR="00401E36" w:rsidRDefault="00401E36" w:rsidP="00401E36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D0559F">
        <w:rPr>
          <w:color w:val="auto"/>
          <w:sz w:val="24"/>
          <w:szCs w:val="24"/>
        </w:rPr>
        <w:t>Наслідками прийняття розробленого проєкту рішення стане реалізація громадян</w:t>
      </w:r>
      <w:r>
        <w:rPr>
          <w:color w:val="auto"/>
          <w:sz w:val="24"/>
          <w:szCs w:val="24"/>
        </w:rPr>
        <w:t>ином</w:t>
      </w:r>
      <w:r w:rsidRPr="00D0559F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08EEA7A2" w14:textId="77777777" w:rsidR="00401E36" w:rsidRDefault="00401E36" w:rsidP="00401E36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5AAE0C32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087F9E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9"/>
      <w:footerReference w:type="default" r:id="rId10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087F9E">
      <w:rPr>
        <w:sz w:val="12"/>
        <w:szCs w:val="12"/>
        <w:lang w:val="ru-RU"/>
      </w:rPr>
      <w:t>ПЗН-71304</w:t>
    </w:r>
    <w:r w:rsidR="00862990">
      <w:rPr>
        <w:sz w:val="12"/>
        <w:szCs w:val="12"/>
      </w:rPr>
      <w:t xml:space="preserve"> від </w:t>
    </w:r>
    <w:r w:rsidR="00B2667F" w:rsidRPr="00087F9E">
      <w:rPr>
        <w:sz w:val="12"/>
        <w:szCs w:val="12"/>
        <w:lang w:val="ru-RU"/>
      </w:rPr>
      <w:t>19.09.2024</w:t>
    </w:r>
    <w:r w:rsidR="00862990">
      <w:rPr>
        <w:sz w:val="12"/>
        <w:szCs w:val="12"/>
      </w:rPr>
      <w:t xml:space="preserve"> до клопотання 647042703</w:t>
    </w:r>
  </w:p>
  <w:p w14:paraId="2E60DAB9" w14:textId="2B235445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A0A13" w:rsidRPr="008A0A1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45902"/>
    <w:rsid w:val="00063928"/>
    <w:rsid w:val="00087F9E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A70A2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A3DBC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01E36"/>
    <w:rsid w:val="004217D9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635A8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0A13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D6B74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B0C80"/>
    <w:rsid w:val="00AD6BDF"/>
    <w:rsid w:val="00AE5ABE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A6FEB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27864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AE5A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6027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Зайчук Максим Володимирович</cp:lastModifiedBy>
  <cp:revision>100</cp:revision>
  <cp:lastPrinted>2021-11-25T14:49:00Z</cp:lastPrinted>
  <dcterms:created xsi:type="dcterms:W3CDTF">2019-11-25T15:42:00Z</dcterms:created>
  <dcterms:modified xsi:type="dcterms:W3CDTF">2024-09-25T06:40:00Z</dcterms:modified>
</cp:coreProperties>
</file>