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638033831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77777777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638033831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82DAE">
        <w:rPr>
          <w:b/>
          <w:bCs/>
          <w:color w:val="auto"/>
          <w:sz w:val="24"/>
          <w:szCs w:val="24"/>
          <w:lang w:val="ru-RU"/>
        </w:rPr>
        <w:t>ПЗН-57819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82DAE">
        <w:rPr>
          <w:b/>
          <w:bCs/>
          <w:color w:val="auto"/>
          <w:sz w:val="24"/>
          <w:szCs w:val="24"/>
          <w:lang w:val="ru-RU"/>
        </w:rPr>
        <w:t>29.08.2023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B807CC4" w:rsidR="00E17376" w:rsidRDefault="00D82DA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D82DAE">
        <w:rPr>
          <w:b/>
          <w:i/>
          <w:iCs/>
          <w:color w:val="auto"/>
          <w:sz w:val="24"/>
          <w:szCs w:val="24"/>
        </w:rPr>
        <w:t>Про безоплатну передачу Туріну Ігорю Юхимовичу, Туріну Володимиру Юхимовичу земельної ділянки, яка розташована по    вул. Федора Максименка, 34 в м. Києві загальною площею 0,2768 га, за нормами ст. 121 ЗК України, з цільовим призначенням для ведення садівництва, для будівництва і обслуговування житлового будинку, для будівництва індивідуального  гаражу, з урахуванням ідеальних частин останніх в домоволодінні № 34 по                                   вул. Червонофлотській (теперішня назва – вул. Федора Максименка) в м. Києві</w:t>
      </w:r>
    </w:p>
    <w:p w14:paraId="4B3F2E7D" w14:textId="77777777" w:rsidR="001823BC" w:rsidRPr="00104BBD" w:rsidRDefault="001823B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1867837" w:rsidR="00E659C4" w:rsidRPr="00104BBD" w:rsidRDefault="00D82DAE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Турін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Ігор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Юхимович,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Турін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Юхимович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1491E08A" w:rsidR="00E659C4" w:rsidRPr="00104BBD" w:rsidRDefault="00E659C4" w:rsidP="00C638C3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="00C638C3">
              <w:rPr>
                <w:b/>
                <w:i/>
                <w:color w:val="auto"/>
                <w:sz w:val="24"/>
                <w:szCs w:val="24"/>
                <w:lang w:val="ru-RU"/>
              </w:rPr>
              <w:t>06.06.2005</w:t>
            </w:r>
            <w:r w:rsidR="00C638C3">
              <w:rPr>
                <w:b/>
                <w:i/>
                <w:color w:val="auto"/>
                <w:sz w:val="24"/>
                <w:szCs w:val="24"/>
              </w:rPr>
              <w:t>, 25.11.2003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2A35EF5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5FFBA009" w14:textId="77777777" w:rsidR="00E659C4" w:rsidRPr="00104BBD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color w:val="auto"/>
          <w:sz w:val="24"/>
          <w:szCs w:val="24"/>
          <w:lang w:val="ru-RU"/>
        </w:rPr>
      </w:pPr>
    </w:p>
    <w:p w14:paraId="5CDFA69F" w14:textId="77777777" w:rsidR="00BA3AB4" w:rsidRPr="00104BBD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0B07FA8E" w14:textId="139331F9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D82DAE" w:rsidRPr="00D82DAE">
        <w:rPr>
          <w:color w:val="auto"/>
          <w:sz w:val="24"/>
          <w:szCs w:val="24"/>
        </w:rPr>
        <w:t>обліковий код</w:t>
      </w:r>
      <w:r w:rsidR="00247072" w:rsidRPr="00D82DAE">
        <w:rPr>
          <w:color w:val="auto"/>
          <w:sz w:val="24"/>
          <w:szCs w:val="24"/>
        </w:rPr>
        <w:t xml:space="preserve"> </w:t>
      </w:r>
      <w:r w:rsidR="00765699" w:rsidRPr="00104BBD">
        <w:rPr>
          <w:color w:val="auto"/>
          <w:sz w:val="24"/>
          <w:szCs w:val="24"/>
        </w:rPr>
        <w:t>85:068:0016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104BBD" w:rsidRPr="00104BBD" w14:paraId="4ACF000F" w14:textId="77777777" w:rsidTr="00D82DAE">
        <w:tc>
          <w:tcPr>
            <w:tcW w:w="3256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F66F5B3" w:rsidR="00FE13EB" w:rsidRPr="0061239E" w:rsidRDefault="00FE13EB" w:rsidP="00D82DA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Федора Максименка, 34 </w:t>
            </w:r>
            <w:r w:rsidR="00D82DAE">
              <w:rPr>
                <w:b w:val="0"/>
                <w:i/>
                <w:color w:val="auto"/>
                <w:sz w:val="24"/>
                <w:szCs w:val="24"/>
              </w:rPr>
              <w:t>в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Оболонському районі міста Києва </w:t>
            </w:r>
          </w:p>
        </w:tc>
      </w:tr>
      <w:tr w:rsidR="00104BBD" w:rsidRPr="00104BBD" w14:paraId="7FA17F85" w14:textId="77777777" w:rsidTr="00D82DAE">
        <w:tc>
          <w:tcPr>
            <w:tcW w:w="3256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0,2768 га</w:t>
            </w:r>
          </w:p>
        </w:tc>
      </w:tr>
      <w:tr w:rsidR="00104BBD" w:rsidRPr="00104BBD" w14:paraId="34526A38" w14:textId="77777777" w:rsidTr="00D82DAE">
        <w:tc>
          <w:tcPr>
            <w:tcW w:w="3256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DA9EF06" w:rsidR="00E659C4" w:rsidRPr="0061239E" w:rsidRDefault="00E659C4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</w:p>
        </w:tc>
      </w:tr>
      <w:tr w:rsidR="00E659C4" w:rsidRPr="00104BBD" w14:paraId="31D36722" w14:textId="77777777" w:rsidTr="00D82DAE">
        <w:tc>
          <w:tcPr>
            <w:tcW w:w="3256" w:type="dxa"/>
          </w:tcPr>
          <w:p w14:paraId="58C1B7B7" w14:textId="733FFD0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Вид використання:                    </w:t>
            </w:r>
          </w:p>
        </w:tc>
        <w:tc>
          <w:tcPr>
            <w:tcW w:w="6373" w:type="dxa"/>
          </w:tcPr>
          <w:p w14:paraId="1AB1CB5D" w14:textId="29500DA6" w:rsidR="00E659C4" w:rsidRPr="001823BC" w:rsidRDefault="00E659C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823BC">
              <w:rPr>
                <w:b w:val="0"/>
                <w:i/>
                <w:color w:val="auto"/>
                <w:sz w:val="24"/>
                <w:szCs w:val="24"/>
              </w:rPr>
              <w:t>для ведення садівництва, для будівництва і обслуговування житлового будинку, для будівництва індивідуального гаражу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586AF201" w:rsidR="00E82810" w:rsidRPr="00104BBD" w:rsidRDefault="00D82DAE" w:rsidP="00D82DAE">
      <w:pPr>
        <w:pStyle w:val="1"/>
        <w:shd w:val="clear" w:color="auto" w:fill="auto"/>
        <w:spacing w:after="40" w:line="233" w:lineRule="auto"/>
        <w:ind w:firstLine="426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 xml:space="preserve">На виконання постанови Шевченківського районного суду м. Києва від 27.06.2012 у справі № 2610/3926/2012, з урахуванням ухвали Шевченківського районного суду м. Києва </w:t>
      </w:r>
      <w:r w:rsidR="002F7B05">
        <w:rPr>
          <w:color w:val="auto"/>
          <w:sz w:val="24"/>
          <w:szCs w:val="24"/>
        </w:rPr>
        <w:t xml:space="preserve">                            </w:t>
      </w:r>
      <w:r w:rsidRPr="00D82DAE">
        <w:rPr>
          <w:color w:val="auto"/>
          <w:sz w:val="24"/>
          <w:szCs w:val="24"/>
        </w:rPr>
        <w:t xml:space="preserve">від 11.06.2021 у справі № 2610/3926/2012, постанови Шостого апеляційного адміністративного суду від 01.02.2021 у справі № 826/5426/16, ухвали Шостого апеляційного адміністративного суду від 09.06.2021 у справі № 826/5426/16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82DAE">
        <w:rPr>
          <w:color w:val="auto"/>
          <w:sz w:val="24"/>
          <w:szCs w:val="24"/>
        </w:rPr>
        <w:t>проєкт</w:t>
      </w:r>
      <w:proofErr w:type="spellEnd"/>
      <w:r w:rsidRPr="00D82DAE">
        <w:rPr>
          <w:color w:val="auto"/>
          <w:sz w:val="24"/>
          <w:szCs w:val="24"/>
        </w:rPr>
        <w:t xml:space="preserve"> рішення Київської міської ради «Про безоплатну передачу Туріну Ігорю Юхимовичу, Туріну Володимиру Юхимовичу земельної ділянки, яка розташована по вул. Федора Максименка, 34 в м. Києві загальною площею 0,2768 га, за нормами ст. 121 ЗК України, з цільовим призначенням для ведення садівництва, для будівництва і обслуговування житлового будинку, для будівництва індивідуального  гаражу, з урахуванням ідеальних частин останніх в домоволодінні № 34 по вул. Червонофлотській (теперішня назва – вул. Федора Максименка) в м. Києві».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A1A9EAA" w14:textId="34CD0004" w:rsidR="004F0681" w:rsidRDefault="00D82DAE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 xml:space="preserve">Метою прийняття рішення є виконання постанови Шевченківського районного суду </w:t>
      </w:r>
      <w:r w:rsidR="002F7B05">
        <w:rPr>
          <w:color w:val="auto"/>
          <w:sz w:val="24"/>
          <w:szCs w:val="24"/>
        </w:rPr>
        <w:t xml:space="preserve">                   </w:t>
      </w:r>
      <w:r w:rsidRPr="00D82DAE">
        <w:rPr>
          <w:color w:val="auto"/>
          <w:sz w:val="24"/>
          <w:szCs w:val="24"/>
        </w:rPr>
        <w:t>м. Києва від 27.06.2012 у справі № 2610/3926/2012, з урахуванням ухвали Шевченківського районного суду м. Києва від 11.06.2021 у справі № 2610/3926/2012, постанови Шостого апеляційного адміністративного суду від 01.02.2021 у справі № 826/5426/16, ухвали Шостого апеляційного адміністративного суду від 09.06.2021 у справі № 826/5426/16.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lastRenderedPageBreak/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104BBD" w:rsidRPr="00104BBD" w14:paraId="4A887E4C" w14:textId="77777777" w:rsidTr="00D82DAE">
        <w:trPr>
          <w:cantSplit/>
        </w:trPr>
        <w:tc>
          <w:tcPr>
            <w:tcW w:w="3119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D82DA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520" w:type="dxa"/>
          </w:tcPr>
          <w:p w14:paraId="687E2619" w14:textId="71F59831" w:rsidR="00E12AC0" w:rsidRPr="00104BBD" w:rsidRDefault="00D82DAE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82DAE">
              <w:rPr>
                <w:i/>
                <w:color w:val="auto"/>
                <w:sz w:val="24"/>
                <w:szCs w:val="24"/>
              </w:rPr>
              <w:t xml:space="preserve">Згідно із наявними в матеріалах справи копіями документів, земельна ділянка забудована житловим будинком загальною площею 109,4 </w:t>
            </w:r>
            <w:proofErr w:type="spellStart"/>
            <w:r w:rsidRPr="00D82DAE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D82DAE">
              <w:rPr>
                <w:i/>
                <w:color w:val="auto"/>
                <w:sz w:val="24"/>
                <w:szCs w:val="24"/>
              </w:rPr>
              <w:t xml:space="preserve"> (відповідно до технічного паспорту на садибний (житловий будинок) від 08.10.2004), який належить на праві власності громадянам Туріну Володимиру Юхимовичу на підставі свідоцтва про право на спадщину за заповітом від 25.06.1981 № 5ДН-7860 (57/100); Туріну Ігорю Юхимовичу на підставі договору дарування від 17.09.1997</w:t>
            </w:r>
            <w:r w:rsidR="001823BC">
              <w:rPr>
                <w:i/>
                <w:color w:val="auto"/>
                <w:sz w:val="24"/>
                <w:szCs w:val="24"/>
              </w:rPr>
              <w:t xml:space="preserve">                      </w:t>
            </w:r>
            <w:r w:rsidRPr="00D82DAE">
              <w:rPr>
                <w:i/>
                <w:color w:val="auto"/>
                <w:sz w:val="24"/>
                <w:szCs w:val="24"/>
              </w:rPr>
              <w:t xml:space="preserve"> № 4-3167(43/100) (зареєстрований в реєстрі 27.11.1997).</w:t>
            </w:r>
          </w:p>
        </w:tc>
      </w:tr>
      <w:tr w:rsidR="00104BBD" w:rsidRPr="00104BBD" w14:paraId="44C55D8C" w14:textId="77777777" w:rsidTr="00D82DAE">
        <w:trPr>
          <w:cantSplit/>
        </w:trPr>
        <w:tc>
          <w:tcPr>
            <w:tcW w:w="3119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520" w:type="dxa"/>
          </w:tcPr>
          <w:p w14:paraId="5ACEA60E" w14:textId="56AF6190" w:rsidR="00E12AC0" w:rsidRPr="00104BBD" w:rsidRDefault="00D82DAE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82DAE">
              <w:rPr>
                <w:i/>
                <w:color w:val="auto"/>
                <w:sz w:val="24"/>
                <w:szCs w:val="24"/>
              </w:rPr>
              <w:t xml:space="preserve">Відповідно до детального плану території району Пуща-Водиця, затвердженого рішенням Київської міської ради </w:t>
            </w:r>
            <w:r w:rsidR="001823BC">
              <w:rPr>
                <w:i/>
                <w:color w:val="auto"/>
                <w:sz w:val="24"/>
                <w:szCs w:val="24"/>
              </w:rPr>
              <w:t xml:space="preserve">             </w:t>
            </w:r>
            <w:r w:rsidRPr="00D82DAE">
              <w:rPr>
                <w:i/>
                <w:color w:val="auto"/>
                <w:sz w:val="24"/>
                <w:szCs w:val="24"/>
              </w:rPr>
              <w:t>від  09.07.2009 № 787/1843,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04BBD" w:rsidRPr="00104BBD" w14:paraId="53F755AF" w14:textId="77777777" w:rsidTr="00D82DAE">
        <w:trPr>
          <w:cantSplit/>
        </w:trPr>
        <w:tc>
          <w:tcPr>
            <w:tcW w:w="3119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20" w:type="dxa"/>
          </w:tcPr>
          <w:p w14:paraId="14888231" w14:textId="47F4D0E6" w:rsidR="00E12AC0" w:rsidRPr="00104BBD" w:rsidRDefault="00D82DAE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82DAE">
              <w:rPr>
                <w:i/>
                <w:color w:val="auto"/>
                <w:sz w:val="24"/>
                <w:szCs w:val="24"/>
              </w:rPr>
              <w:t>Відповідно до Генерального плану міста,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04BBD" w:rsidRPr="00104BBD" w14:paraId="67EEAA64" w14:textId="77777777" w:rsidTr="00D82DAE">
        <w:trPr>
          <w:cantSplit/>
        </w:trPr>
        <w:tc>
          <w:tcPr>
            <w:tcW w:w="3119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520" w:type="dxa"/>
          </w:tcPr>
          <w:p w14:paraId="3A54F2AD" w14:textId="22BB5BB7" w:rsidR="00765699" w:rsidRPr="00104BBD" w:rsidRDefault="00D82DAE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2DAE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D82DAE">
        <w:trPr>
          <w:cantSplit/>
        </w:trPr>
        <w:tc>
          <w:tcPr>
            <w:tcW w:w="3119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520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D82DAE">
        <w:trPr>
          <w:cantSplit/>
        </w:trPr>
        <w:tc>
          <w:tcPr>
            <w:tcW w:w="3119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520" w:type="dxa"/>
          </w:tcPr>
          <w:p w14:paraId="6FEEC068" w14:textId="77777777" w:rsidR="00D82DAE" w:rsidRPr="00D82DAE" w:rsidRDefault="00D82DAE" w:rsidP="00D82D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Статтею 382 Кримінального кодексу України передбачено кримінальну відповідальність за невиконання судового рішення.</w:t>
            </w:r>
          </w:p>
          <w:p w14:paraId="35583FBB" w14:textId="26223DA8" w:rsidR="00D82DAE" w:rsidRPr="00D82DAE" w:rsidRDefault="00D82DAE" w:rsidP="00D82D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доданими до справи документами домоволодіння                 № 34 по вул. Червонофлотській (теперішня назва – </w:t>
            </w:r>
            <w:r w:rsidR="002F7B0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Федора Максименка) в м. Києві перебуває у спільній частковій власності, зокрема: 57/100 будинку у власності Туріна В.Ю. та 43/100 будинку у власності Туріна І.Ю.</w:t>
            </w:r>
          </w:p>
          <w:p w14:paraId="1591BCC8" w14:textId="77777777" w:rsidR="00D82DAE" w:rsidRPr="00D82DAE" w:rsidRDefault="00D82DAE" w:rsidP="00D82D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130401F3" w14:textId="14FB0139" w:rsidR="00D82DAE" w:rsidRPr="00D82DAE" w:rsidRDefault="00D82DAE" w:rsidP="00D82D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виконання постанови Шевченківського районного суду                     м. Києва від 27 червня 2012 року у справі № 2610/3926/2012, з урахуванням ухвали Шевченківського районного суду м. Києва від 11 червня 2021 року у справі № 2610/3926/2012, постанови Шостого апеляційного адміністративного суду від 01 лютого 2021 року у справі № 826/5426/16, ухвали Шостого апеляційного адміністративного суду 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ід 09 червня 2021 року у справі</w:t>
            </w: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826/5426/16 підготовлено </w:t>
            </w:r>
            <w:proofErr w:type="spellStart"/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Київської міської ради.</w:t>
            </w:r>
          </w:p>
          <w:p w14:paraId="1BCB9116" w14:textId="77777777" w:rsidR="00D82DAE" w:rsidRPr="00D82DAE" w:rsidRDefault="00D82DAE" w:rsidP="00D82D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6528D3CD" w14:textId="6B89A93E" w:rsidR="00017352" w:rsidRPr="00104BBD" w:rsidRDefault="00D82DAE" w:rsidP="00D82DA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82D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26E7280" w14:textId="5A305DE9" w:rsidR="00D82DAE" w:rsidRPr="00D82DAE" w:rsidRDefault="00D82DAE" w:rsidP="001823BC">
      <w:pPr>
        <w:pStyle w:val="1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1823BC">
        <w:rPr>
          <w:color w:val="auto"/>
          <w:sz w:val="24"/>
          <w:szCs w:val="24"/>
        </w:rPr>
        <w:t xml:space="preserve">                                        </w:t>
      </w:r>
      <w:r w:rsidRPr="00D82DAE">
        <w:rPr>
          <w:color w:val="auto"/>
          <w:sz w:val="24"/>
          <w:szCs w:val="24"/>
        </w:rPr>
        <w:t xml:space="preserve">від 20.04.2017 № 241/2463. </w:t>
      </w:r>
    </w:p>
    <w:p w14:paraId="022B5A84" w14:textId="0234D3D1" w:rsidR="00D82DAE" w:rsidRPr="00D82DAE" w:rsidRDefault="00D82DAE" w:rsidP="001823BC">
      <w:pPr>
        <w:pStyle w:val="1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 xml:space="preserve">На виконання постанови Шевченківського районного суду м. Києва від 27.06.2012 у справі № 2610/3926/2012, з урахуванням ухвали Шевченківського районного суду м. Києва </w:t>
      </w:r>
      <w:r w:rsidR="001823BC">
        <w:rPr>
          <w:color w:val="auto"/>
          <w:sz w:val="24"/>
          <w:szCs w:val="24"/>
        </w:rPr>
        <w:t xml:space="preserve">                                  </w:t>
      </w:r>
      <w:r w:rsidRPr="00D82DAE">
        <w:rPr>
          <w:color w:val="auto"/>
          <w:sz w:val="24"/>
          <w:szCs w:val="24"/>
        </w:rPr>
        <w:t>від 11.06.2021 у справі № 2610/3926/2012, постанови Шостого апеляційного адміністративного суду від 01.02.2021 у справі № 826/5426/16, ухвали Шостого апеляційного адміністративного суду від 09.06.2021 у справі № 826/5426/16.</w:t>
      </w:r>
    </w:p>
    <w:p w14:paraId="543C2E67" w14:textId="77777777" w:rsidR="00D82DAE" w:rsidRPr="00D82DAE" w:rsidRDefault="00D82DAE" w:rsidP="001823BC">
      <w:pPr>
        <w:pStyle w:val="1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>Згідно з нормами статті 129-1 Конституції України судове рішення є обов’язковим до виконання.</w:t>
      </w:r>
    </w:p>
    <w:p w14:paraId="1BAD7687" w14:textId="77777777" w:rsidR="00D82DAE" w:rsidRDefault="00D82DAE" w:rsidP="001823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>Відповідного до частини другої статті 14 Кодексу адміністративного судочинства України судові рішення, що набрали законної сили, є обов’язковими до виконання всіма органами державної влади, органами місцевого самоврядування, їх посадовими та службовими особами, фізичними і юридичними особами та їх об’єднаннями на всій території України.</w:t>
      </w:r>
    </w:p>
    <w:p w14:paraId="2130D9C8" w14:textId="61E8C3EC" w:rsidR="00EE6BAB" w:rsidRPr="00EE6BAB" w:rsidRDefault="00EE6BAB" w:rsidP="001823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EE6BAB">
        <w:rPr>
          <w:sz w:val="24"/>
          <w:szCs w:val="24"/>
        </w:rPr>
        <w:t>Про</w:t>
      </w:r>
      <w:r w:rsidR="00D82DAE">
        <w:rPr>
          <w:sz w:val="24"/>
          <w:szCs w:val="24"/>
        </w:rPr>
        <w:t>є</w:t>
      </w:r>
      <w:r w:rsidRPr="00EE6BAB">
        <w:rPr>
          <w:sz w:val="24"/>
          <w:szCs w:val="24"/>
        </w:rPr>
        <w:t>кт</w:t>
      </w:r>
      <w:proofErr w:type="spellEnd"/>
      <w:r w:rsidRPr="00EE6BAB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09CF4B8" w14:textId="77777777" w:rsidR="00D4076E" w:rsidRPr="00965A55" w:rsidRDefault="00D4076E" w:rsidP="001823BC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7B71D72C" w:rsidR="00921DA0" w:rsidRPr="00104BBD" w:rsidRDefault="00D82DA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82DA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D82DAE">
        <w:rPr>
          <w:color w:val="auto"/>
          <w:sz w:val="24"/>
          <w:szCs w:val="24"/>
        </w:rPr>
        <w:t>проєкту</w:t>
      </w:r>
      <w:proofErr w:type="spellEnd"/>
      <w:r w:rsidRPr="00D82DAE">
        <w:rPr>
          <w:color w:val="auto"/>
          <w:sz w:val="24"/>
          <w:szCs w:val="24"/>
        </w:rPr>
        <w:t xml:space="preserve"> рішення стане виконання постанови Шевченківського районного суду м. Києва від 27.06.2012 у справі № 2610/3926/2012, з урахуванням ухвали Шевченківського районного суду м. Києва від 11.06.2021 у справі                          № 2610/3926/2012, постанови Шостого апеляційного адміністративного суду від 01.02.2021 у справі № 826/5426/16, ухвали Шостого апеляційного адміністративного суду від 09.06.2021 у справі № 826/5426/16.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82DAE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A1F">
      <w:headerReference w:type="default" r:id="rId11"/>
      <w:footerReference w:type="default" r:id="rId12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C9E6" w14:textId="77777777" w:rsidR="00074E2E" w:rsidRDefault="00074E2E">
      <w:r>
        <w:separator/>
      </w:r>
    </w:p>
  </w:endnote>
  <w:endnote w:type="continuationSeparator" w:id="0">
    <w:p w14:paraId="5D1FABD8" w14:textId="77777777" w:rsidR="00074E2E" w:rsidRDefault="000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E993" w14:textId="77777777" w:rsidR="00074E2E" w:rsidRDefault="00074E2E"/>
  </w:footnote>
  <w:footnote w:type="continuationSeparator" w:id="0">
    <w:p w14:paraId="14923F86" w14:textId="77777777" w:rsidR="00074E2E" w:rsidRDefault="00074E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AF61CA6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</w:t>
    </w:r>
    <w:r w:rsidR="002F7B05">
      <w:rPr>
        <w:sz w:val="12"/>
        <w:szCs w:val="12"/>
      </w:rPr>
      <w:t xml:space="preserve"> </w:t>
    </w:r>
    <w:r w:rsidR="00B979C8">
      <w:rPr>
        <w:sz w:val="12"/>
        <w:szCs w:val="12"/>
      </w:rPr>
      <w:t xml:space="preserve">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82DAE">
      <w:rPr>
        <w:sz w:val="12"/>
        <w:szCs w:val="12"/>
        <w:lang w:val="ru-RU"/>
      </w:rPr>
      <w:t>ПЗН-57819</w:t>
    </w:r>
    <w:r w:rsidR="00862990">
      <w:rPr>
        <w:sz w:val="12"/>
        <w:szCs w:val="12"/>
      </w:rPr>
      <w:t xml:space="preserve"> від </w:t>
    </w:r>
    <w:r w:rsidR="00200540" w:rsidRPr="00D82DAE">
      <w:rPr>
        <w:sz w:val="12"/>
        <w:szCs w:val="12"/>
        <w:lang w:val="ru-RU"/>
      </w:rPr>
      <w:t>29.08.2023</w:t>
    </w:r>
    <w:r w:rsidR="00862990">
      <w:rPr>
        <w:sz w:val="12"/>
        <w:szCs w:val="12"/>
      </w:rPr>
      <w:t xml:space="preserve"> до клопотання 638033831</w:t>
    </w:r>
  </w:p>
  <w:p w14:paraId="2E60DAB9" w14:textId="166EF89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90D6F" w:rsidRPr="00C90D6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44BCB"/>
    <w:rsid w:val="00045902"/>
    <w:rsid w:val="00074E2E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23BC"/>
    <w:rsid w:val="00184DC5"/>
    <w:rsid w:val="00194E38"/>
    <w:rsid w:val="001A524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F7B05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1F64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638C3"/>
    <w:rsid w:val="00C90D6F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2DA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9E20-0EE2-4F3A-B21E-14951DBD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7598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lastModifiedBy>Корнійчук Олеся Михайлівна</cp:lastModifiedBy>
  <cp:revision>2</cp:revision>
  <cp:lastPrinted>2023-09-06T05:55:00Z</cp:lastPrinted>
  <dcterms:created xsi:type="dcterms:W3CDTF">2023-09-08T07:15:00Z</dcterms:created>
  <dcterms:modified xsi:type="dcterms:W3CDTF">2023-09-08T07:15:00Z</dcterms:modified>
</cp:coreProperties>
</file>