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636960196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636960196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D35C87F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B52766">
        <w:rPr>
          <w:b/>
          <w:bCs/>
          <w:sz w:val="24"/>
          <w:szCs w:val="24"/>
          <w:lang w:val="ru-RU"/>
        </w:rPr>
        <w:t>ПЗН-27671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B52766">
        <w:rPr>
          <w:b/>
          <w:bCs/>
          <w:sz w:val="24"/>
          <w:szCs w:val="24"/>
          <w:lang w:val="ru-RU"/>
        </w:rPr>
        <w:t>06.12.2022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75184F19" w14:textId="5D01D458" w:rsidR="00B52766" w:rsidRPr="00A376B1" w:rsidRDefault="00B52766" w:rsidP="00B52766">
      <w:pPr>
        <w:pStyle w:val="1"/>
        <w:shd w:val="clear" w:color="auto" w:fill="auto"/>
        <w:spacing w:after="0" w:line="226" w:lineRule="auto"/>
        <w:ind w:right="2772" w:firstLine="0"/>
        <w:jc w:val="center"/>
        <w:rPr>
          <w:rFonts w:eastAsia="Courier New"/>
          <w:b/>
          <w:i/>
          <w:sz w:val="24"/>
          <w:szCs w:val="24"/>
          <w:lang w:val="ru-RU"/>
        </w:rPr>
      </w:pPr>
      <w:r w:rsidRPr="00A376B1">
        <w:rPr>
          <w:rFonts w:eastAsia="Courier New"/>
          <w:b/>
          <w:i/>
          <w:sz w:val="24"/>
          <w:szCs w:val="24"/>
          <w:lang w:val="ru-RU"/>
        </w:rPr>
        <w:t xml:space="preserve">Про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надання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громадянину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Сафроняку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Руслану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Васильовичу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дозволу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на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розроблення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проєкту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землеустрою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щодо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відведення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земельної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ділянки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у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власність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для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ведення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особистого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селянського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господарства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на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вул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. </w:t>
      </w:r>
      <w:proofErr w:type="spellStart"/>
      <w:r>
        <w:rPr>
          <w:rFonts w:eastAsia="Courier New"/>
          <w:b/>
          <w:i/>
          <w:sz w:val="24"/>
          <w:szCs w:val="24"/>
          <w:lang w:val="ru-RU"/>
        </w:rPr>
        <w:t>Крутій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у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Голосіївському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районі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міста</w:t>
      </w:r>
      <w:proofErr w:type="spellEnd"/>
      <w:r w:rsidRPr="00A376B1">
        <w:rPr>
          <w:rFonts w:eastAsia="Courier New"/>
          <w:b/>
          <w:i/>
          <w:sz w:val="24"/>
          <w:szCs w:val="24"/>
          <w:lang w:val="ru-RU"/>
        </w:rPr>
        <w:t xml:space="preserve"> </w:t>
      </w:r>
      <w:proofErr w:type="spellStart"/>
      <w:r w:rsidRPr="00A376B1">
        <w:rPr>
          <w:rFonts w:eastAsia="Courier New"/>
          <w:b/>
          <w:i/>
          <w:sz w:val="24"/>
          <w:szCs w:val="24"/>
          <w:lang w:val="ru-RU"/>
        </w:rPr>
        <w:t>Києва</w:t>
      </w:r>
      <w:proofErr w:type="spellEnd"/>
    </w:p>
    <w:p w14:paraId="3D808EFA" w14:textId="77777777" w:rsidR="00E17376" w:rsidRPr="000E683F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2"/>
          <w:szCs w:val="22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0E683F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10"/>
          <w:szCs w:val="10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Сафроняк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Руслан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Васильович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18.08.2021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636960196</w:t>
            </w:r>
          </w:p>
        </w:tc>
      </w:tr>
    </w:tbl>
    <w:p w14:paraId="5CDFA69F" w14:textId="77777777" w:rsidR="00BA3AB4" w:rsidRPr="000E683F" w:rsidRDefault="00BA3AB4" w:rsidP="003774B2">
      <w:pPr>
        <w:pStyle w:val="a7"/>
        <w:shd w:val="clear" w:color="auto" w:fill="auto"/>
        <w:spacing w:line="204" w:lineRule="auto"/>
        <w:rPr>
          <w:i/>
          <w:sz w:val="10"/>
          <w:szCs w:val="10"/>
        </w:rPr>
      </w:pPr>
    </w:p>
    <w:p w14:paraId="4C23D66D" w14:textId="11850AAD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0E683F">
        <w:rPr>
          <w:sz w:val="24"/>
          <w:szCs w:val="24"/>
        </w:rPr>
        <w:t>обліковий код</w:t>
      </w:r>
      <w:bookmarkStart w:id="0" w:name="_GoBack"/>
      <w:bookmarkEnd w:id="0"/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79:128:0096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по вул. Крутій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0,27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ведення особистого селянського господарства</w:t>
            </w:r>
          </w:p>
        </w:tc>
      </w:tr>
    </w:tbl>
    <w:p w14:paraId="1460E21E" w14:textId="77777777" w:rsidR="002438BA" w:rsidRPr="000E683F" w:rsidRDefault="002438BA" w:rsidP="003774B2">
      <w:pPr>
        <w:pStyle w:val="a7"/>
        <w:rPr>
          <w:b w:val="0"/>
          <w:i/>
          <w:sz w:val="6"/>
          <w:szCs w:val="6"/>
        </w:rPr>
      </w:pPr>
    </w:p>
    <w:p w14:paraId="25862FF5" w14:textId="77777777" w:rsidR="004F0681" w:rsidRPr="000E683F" w:rsidRDefault="004F0681" w:rsidP="003774B2">
      <w:pPr>
        <w:spacing w:after="39" w:line="1" w:lineRule="exact"/>
        <w:rPr>
          <w:rFonts w:ascii="Times New Roman" w:hAnsi="Times New Roman" w:cs="Times New Roman"/>
          <w:sz w:val="6"/>
          <w:szCs w:val="6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078ACD0A" w14:textId="77777777" w:rsidR="00B52766" w:rsidRPr="003774B2" w:rsidRDefault="00B52766" w:rsidP="00B52766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 Земельного кодексу України,</w:t>
      </w:r>
      <w:r w:rsidRPr="0070402C">
        <w:rPr>
          <w:sz w:val="24"/>
          <w:szCs w:val="24"/>
        </w:rPr>
        <w:t xml:space="preserve"> Порядку набуття прав на землю із земель комунальної власності у місті Києві, затвердженого рішенням Київської міської ради від 20.04.2017 № 241/2463</w:t>
      </w:r>
      <w:r>
        <w:rPr>
          <w:sz w:val="24"/>
          <w:szCs w:val="24"/>
        </w:rPr>
        <w:t xml:space="preserve"> та </w:t>
      </w:r>
      <w:r w:rsidRPr="00A376B1">
        <w:rPr>
          <w:sz w:val="24"/>
          <w:szCs w:val="24"/>
        </w:rPr>
        <w:t>враховуючи рішення Київського окружного адміністративного суду від 26.08.2022 у справі № 320/184/22</w:t>
      </w:r>
      <w:r w:rsidRPr="0070402C">
        <w:rPr>
          <w:sz w:val="24"/>
          <w:szCs w:val="24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B52766" w:rsidRPr="000E683F" w14:paraId="3F5332C5" w14:textId="77777777" w:rsidTr="007135F4">
        <w:trPr>
          <w:cantSplit/>
        </w:trPr>
        <w:tc>
          <w:tcPr>
            <w:tcW w:w="3510" w:type="dxa"/>
          </w:tcPr>
          <w:p w14:paraId="4791C9FC" w14:textId="77777777" w:rsidR="00B52766" w:rsidRPr="000E683F" w:rsidRDefault="00B52766" w:rsidP="007135F4">
            <w:pPr>
              <w:pStyle w:val="1"/>
              <w:shd w:val="clear" w:color="auto" w:fill="auto"/>
              <w:spacing w:after="0"/>
              <w:ind w:left="-142" w:firstLine="0"/>
              <w:rPr>
                <w:sz w:val="22"/>
                <w:szCs w:val="22"/>
              </w:rPr>
            </w:pPr>
            <w:r w:rsidRPr="000E683F">
              <w:rPr>
                <w:sz w:val="22"/>
                <w:szCs w:val="22"/>
              </w:rPr>
              <w:t xml:space="preserve">  Наявність будівель </w:t>
            </w:r>
          </w:p>
          <w:p w14:paraId="3EFE969F" w14:textId="77777777" w:rsidR="00B52766" w:rsidRPr="000E683F" w:rsidRDefault="00B52766" w:rsidP="007135F4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2"/>
                <w:szCs w:val="22"/>
                <w:lang w:val="ru-RU"/>
              </w:rPr>
            </w:pPr>
            <w:r w:rsidRPr="000E683F">
              <w:rPr>
                <w:sz w:val="22"/>
                <w:szCs w:val="22"/>
              </w:rPr>
              <w:t xml:space="preserve">  і споруд на ділянці:</w:t>
            </w:r>
          </w:p>
        </w:tc>
        <w:tc>
          <w:tcPr>
            <w:tcW w:w="6237" w:type="dxa"/>
          </w:tcPr>
          <w:p w14:paraId="47E535F1" w14:textId="7D0EE9A0" w:rsidR="00B52766" w:rsidRPr="000E683F" w:rsidRDefault="00B52766" w:rsidP="000E683F">
            <w:pPr>
              <w:pStyle w:val="1"/>
              <w:shd w:val="clear" w:color="auto" w:fill="auto"/>
              <w:spacing w:after="0"/>
              <w:ind w:firstLine="348"/>
              <w:jc w:val="both"/>
              <w:rPr>
                <w:i/>
                <w:sz w:val="22"/>
                <w:szCs w:val="22"/>
                <w:lang w:val="ru-RU"/>
              </w:rPr>
            </w:pPr>
            <w:r w:rsidRPr="000E683F">
              <w:rPr>
                <w:i/>
                <w:sz w:val="22"/>
                <w:szCs w:val="22"/>
              </w:rPr>
              <w:t>Земельна ділянка вільна від забудови</w:t>
            </w:r>
            <w:r w:rsidRPr="000E683F">
              <w:rPr>
                <w:i/>
                <w:sz w:val="22"/>
                <w:szCs w:val="22"/>
                <w:lang w:val="ru-RU"/>
              </w:rPr>
              <w:t>.</w:t>
            </w:r>
          </w:p>
        </w:tc>
      </w:tr>
      <w:tr w:rsidR="00B52766" w:rsidRPr="000E683F" w14:paraId="49EBF67F" w14:textId="77777777" w:rsidTr="007135F4">
        <w:trPr>
          <w:cantSplit/>
        </w:trPr>
        <w:tc>
          <w:tcPr>
            <w:tcW w:w="3510" w:type="dxa"/>
          </w:tcPr>
          <w:p w14:paraId="75CF8FB2" w14:textId="77777777" w:rsidR="00B52766" w:rsidRPr="000E683F" w:rsidRDefault="00B52766" w:rsidP="007135F4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2"/>
                <w:szCs w:val="22"/>
                <w:lang w:val="ru-RU"/>
              </w:rPr>
            </w:pPr>
            <w:r w:rsidRPr="000E683F">
              <w:rPr>
                <w:sz w:val="22"/>
                <w:szCs w:val="22"/>
              </w:rPr>
              <w:t xml:space="preserve">  Наявність ДПТ:</w:t>
            </w:r>
          </w:p>
        </w:tc>
        <w:tc>
          <w:tcPr>
            <w:tcW w:w="6237" w:type="dxa"/>
          </w:tcPr>
          <w:p w14:paraId="36C8A197" w14:textId="77777777" w:rsidR="00B52766" w:rsidRPr="000E683F" w:rsidRDefault="00B52766" w:rsidP="000E683F">
            <w:pPr>
              <w:ind w:firstLine="34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E683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Детальний план території відсутній.</w:t>
            </w:r>
          </w:p>
        </w:tc>
      </w:tr>
      <w:tr w:rsidR="00B52766" w:rsidRPr="000E683F" w14:paraId="0B981821" w14:textId="77777777" w:rsidTr="000E683F">
        <w:trPr>
          <w:cantSplit/>
          <w:trHeight w:val="3328"/>
        </w:trPr>
        <w:tc>
          <w:tcPr>
            <w:tcW w:w="3510" w:type="dxa"/>
          </w:tcPr>
          <w:p w14:paraId="7C5C3B67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sz w:val="22"/>
                <w:szCs w:val="22"/>
              </w:rPr>
              <w:t xml:space="preserve">  Функціональне призначення  </w:t>
            </w:r>
          </w:p>
          <w:p w14:paraId="795FD361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683F">
              <w:rPr>
                <w:rFonts w:ascii="Times New Roman" w:hAnsi="Times New Roman" w:cs="Times New Roman"/>
                <w:sz w:val="22"/>
                <w:szCs w:val="22"/>
              </w:rPr>
              <w:t xml:space="preserve">  згідно з Генпланом:</w:t>
            </w:r>
          </w:p>
        </w:tc>
        <w:tc>
          <w:tcPr>
            <w:tcW w:w="6237" w:type="dxa"/>
          </w:tcPr>
          <w:p w14:paraId="6C3D1EE8" w14:textId="77777777" w:rsidR="00B52766" w:rsidRPr="000E683F" w:rsidRDefault="00B52766" w:rsidP="000E683F">
            <w:pPr>
              <w:ind w:firstLine="3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Відповідно до Генерального плану міста Києва, затвердженого рішенням Київської міської ради                              від 28.03.2002 № 370/1804, земельна ділянка за функціональним призначенням належить до сільськогосподарської території (існуючі).</w:t>
            </w:r>
          </w:p>
          <w:p w14:paraId="7FD78F0E" w14:textId="154EC76E" w:rsidR="00B52766" w:rsidRPr="000E683F" w:rsidRDefault="00B52766" w:rsidP="000E683F">
            <w:pPr>
              <w:ind w:firstLine="315"/>
              <w:jc w:val="both"/>
              <w:rPr>
                <w:i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Пунктом 2 рішення Київської міської ради від 01.10.2007</w:t>
            </w:r>
            <w:r w:rsid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№ 349/3183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внесено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зміни до Генерального плану міста Києва та проекту планування його приміської зони на період до 2020 року, затверджених рішенням Київської міської ради від 28.03.2002 № 370/1804, а саме: територію в межах визначених містобудівним обґрунтуванням перевести за функціональним призначенням до зони малоповерхової житлової забудови.</w:t>
            </w:r>
          </w:p>
        </w:tc>
      </w:tr>
      <w:tr w:rsidR="00B52766" w:rsidRPr="000E683F" w14:paraId="6A1D32F9" w14:textId="77777777" w:rsidTr="007135F4">
        <w:trPr>
          <w:cantSplit/>
          <w:trHeight w:val="1156"/>
        </w:trPr>
        <w:tc>
          <w:tcPr>
            <w:tcW w:w="3510" w:type="dxa"/>
          </w:tcPr>
          <w:p w14:paraId="64E27032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DF70F92" w14:textId="48708B9B" w:rsidR="00B52766" w:rsidRPr="000E683F" w:rsidRDefault="000E683F" w:rsidP="000E683F">
            <w:pPr>
              <w:pStyle w:val="1"/>
              <w:spacing w:after="0"/>
              <w:ind w:firstLine="490"/>
              <w:jc w:val="both"/>
              <w:rPr>
                <w:i/>
                <w:sz w:val="22"/>
                <w:szCs w:val="22"/>
              </w:rPr>
            </w:pPr>
            <w:r w:rsidRPr="000E683F">
              <w:rPr>
                <w:i/>
                <w:sz w:val="22"/>
                <w:szCs w:val="22"/>
              </w:rPr>
              <w:t>Рішення Господарського суду м. Києва від 25.05.2011 у справі № 50/175 залишеним без змін постановою Київського апеляційного господарського суду м. Києва від 06.07.2011 та постановою Вищого господарського суду України від 15.11.2011</w:t>
            </w:r>
            <w:r w:rsidR="00B52766" w:rsidRPr="000E683F">
              <w:rPr>
                <w:i/>
                <w:sz w:val="22"/>
                <w:szCs w:val="22"/>
              </w:rPr>
              <w:t xml:space="preserve"> рішення Київської міської ради</w:t>
            </w:r>
            <w:r w:rsidRPr="000E683F">
              <w:rPr>
                <w:i/>
                <w:sz w:val="22"/>
                <w:szCs w:val="22"/>
              </w:rPr>
              <w:t xml:space="preserve"> </w:t>
            </w:r>
            <w:r w:rsidR="00B52766" w:rsidRPr="000E683F">
              <w:rPr>
                <w:i/>
                <w:sz w:val="22"/>
                <w:szCs w:val="22"/>
              </w:rPr>
              <w:t>від 01.10.2007 № 349/3183 визнано недійсним</w:t>
            </w:r>
            <w:r w:rsidRPr="000E683F">
              <w:rPr>
                <w:i/>
                <w:sz w:val="22"/>
                <w:szCs w:val="22"/>
              </w:rPr>
              <w:t xml:space="preserve"> з моменту його прийняття</w:t>
            </w:r>
            <w:r w:rsidR="00B52766" w:rsidRPr="000E683F">
              <w:rPr>
                <w:i/>
                <w:sz w:val="22"/>
                <w:szCs w:val="22"/>
              </w:rPr>
              <w:t>.</w:t>
            </w:r>
          </w:p>
        </w:tc>
      </w:tr>
      <w:tr w:rsidR="00B52766" w:rsidRPr="000E683F" w14:paraId="714F36DB" w14:textId="77777777" w:rsidTr="007135F4">
        <w:trPr>
          <w:cantSplit/>
        </w:trPr>
        <w:tc>
          <w:tcPr>
            <w:tcW w:w="3510" w:type="dxa"/>
          </w:tcPr>
          <w:p w14:paraId="7D39599D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683F">
              <w:rPr>
                <w:rFonts w:ascii="Times New Roman" w:hAnsi="Times New Roman" w:cs="Times New Roman"/>
                <w:sz w:val="22"/>
                <w:szCs w:val="22"/>
              </w:rPr>
              <w:t xml:space="preserve">  Правовий режим:</w:t>
            </w:r>
          </w:p>
        </w:tc>
        <w:tc>
          <w:tcPr>
            <w:tcW w:w="6237" w:type="dxa"/>
          </w:tcPr>
          <w:p w14:paraId="1C2FD01A" w14:textId="77777777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Земельна ділянка належить до земель комунальної власності територіальної громади міста Києва.</w:t>
            </w:r>
          </w:p>
        </w:tc>
      </w:tr>
      <w:tr w:rsidR="00B52766" w:rsidRPr="000E683F" w14:paraId="14A7ADED" w14:textId="77777777" w:rsidTr="007135F4">
        <w:trPr>
          <w:cantSplit/>
        </w:trPr>
        <w:tc>
          <w:tcPr>
            <w:tcW w:w="3510" w:type="dxa"/>
          </w:tcPr>
          <w:p w14:paraId="06F85F5B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68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Розташування в зеленій зоні:</w:t>
            </w:r>
          </w:p>
        </w:tc>
        <w:tc>
          <w:tcPr>
            <w:tcW w:w="6237" w:type="dxa"/>
          </w:tcPr>
          <w:p w14:paraId="016ED9D7" w14:textId="77777777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Земельна ділянка не входить до зеленої зони</w:t>
            </w:r>
            <w:r w:rsidRPr="000E683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</w:rPr>
              <w:t>.</w:t>
            </w:r>
            <w:r w:rsidRPr="000E683F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52766" w:rsidRPr="000E683F" w14:paraId="62062C8B" w14:textId="77777777" w:rsidTr="007135F4">
        <w:trPr>
          <w:cantSplit/>
        </w:trPr>
        <w:tc>
          <w:tcPr>
            <w:tcW w:w="3510" w:type="dxa"/>
          </w:tcPr>
          <w:p w14:paraId="7FC82600" w14:textId="77777777" w:rsidR="00B52766" w:rsidRPr="000E683F" w:rsidRDefault="00B52766" w:rsidP="007135F4">
            <w:pPr>
              <w:ind w:left="-142"/>
              <w:rPr>
                <w:rFonts w:ascii="Times New Roman" w:hAnsi="Times New Roman" w:cs="Times New Roman"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sz w:val="22"/>
                <w:szCs w:val="22"/>
              </w:rPr>
              <w:t xml:space="preserve">  Інші особливості:</w:t>
            </w:r>
          </w:p>
        </w:tc>
        <w:tc>
          <w:tcPr>
            <w:tcW w:w="6237" w:type="dxa"/>
          </w:tcPr>
          <w:p w14:paraId="3C66CF97" w14:textId="20A881FE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Київською міською радою прийнято рішення «Про відмову громадянину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Сафроняку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Руслану Васильовичу у наданні дозволу на розроблення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</w:t>
            </w:r>
            <w:r w:rsidR="002467ED"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на вул. Крутій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у Голосіївському районі міста Києва» від 18.11.2021</w:t>
            </w:r>
            <w:r w:rsidR="000E683F"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№ 3448/3489.</w:t>
            </w:r>
            <w:r w:rsidR="000E683F"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F36A035" w14:textId="497C0CE9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Рішенням Київського окружного адміністративного суду від 26.08.2022 у справі № 320/184/22 визнано протиправною відмову Київської міської ради у наданні дозволу на розроблення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землеустрою щодо відведення земельної ділянки та зобов’язано Київську міську раду прийняти рішення про надання громадянину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Сафроняку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Р.В. дозволу на розроблення </w:t>
            </w:r>
            <w:proofErr w:type="spellStart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землеустрою щодо відведення земельної ділянки на вул. </w:t>
            </w:r>
            <w:r w:rsidR="002467ED"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Крутій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у Голосіївському районі міста Києва.</w:t>
            </w:r>
          </w:p>
          <w:p w14:paraId="7DACEE9C" w14:textId="77777777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Відповідно до статі 129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Конституції України та статі 14 Кодексу адміністративного судочинства України рішення суду є обов’язковим до виконання і за невиконання якого законом встановлена відповідальність.</w:t>
            </w:r>
          </w:p>
          <w:p w14:paraId="6E4AE34F" w14:textId="77777777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Статтею 382 Кримінального кодексу України передбачено кримінальну відповідальність за невиконання судового рішення.</w:t>
            </w:r>
          </w:p>
          <w:p w14:paraId="49FF4BA7" w14:textId="77777777" w:rsidR="00B52766" w:rsidRPr="000E683F" w:rsidRDefault="00B52766" w:rsidP="007135F4">
            <w:pPr>
              <w:ind w:firstLine="31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E683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</w:t>
            </w:r>
            <w:r w:rsidRPr="000E683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зковості розгляду питань землекористування на пленарних засіданнях) вказаний </w:t>
            </w:r>
            <w:proofErr w:type="spellStart"/>
            <w:r w:rsidRPr="000E683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проєкт</w:t>
            </w:r>
            <w:proofErr w:type="spellEnd"/>
            <w:r w:rsidRPr="000E683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FE63E4D" w14:textId="77777777" w:rsidR="00765699" w:rsidRPr="000E683F" w:rsidRDefault="00765699" w:rsidP="003774B2">
      <w:pPr>
        <w:rPr>
          <w:rFonts w:ascii="Times New Roman" w:hAnsi="Times New Roman" w:cs="Times New Roman"/>
          <w:i/>
          <w:sz w:val="10"/>
          <w:szCs w:val="10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A092DBE" w:rsidR="006A3391" w:rsidRPr="00DF2891" w:rsidRDefault="0058656C" w:rsidP="00FF5BC7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8380C78" w:rsidR="00114807" w:rsidRPr="003774B2" w:rsidRDefault="00CC567E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52766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Pr="000E683F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0E683F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56ECE627" w:rsidR="0093432B" w:rsidRPr="003774B2" w:rsidRDefault="0093432B" w:rsidP="000E683F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1E34" w14:textId="77777777" w:rsidR="009E22F3" w:rsidRDefault="009E22F3">
      <w:r>
        <w:separator/>
      </w:r>
    </w:p>
  </w:endnote>
  <w:endnote w:type="continuationSeparator" w:id="0">
    <w:p w14:paraId="2C4C6229" w14:textId="77777777" w:rsidR="009E22F3" w:rsidRDefault="009E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1912" w14:textId="77777777" w:rsidR="009E22F3" w:rsidRDefault="009E22F3"/>
  </w:footnote>
  <w:footnote w:type="continuationSeparator" w:id="0">
    <w:p w14:paraId="0DA1C731" w14:textId="77777777" w:rsidR="009E22F3" w:rsidRDefault="009E22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AC18" w14:textId="2EB5139B" w:rsidR="00862990" w:rsidRPr="000E683F" w:rsidRDefault="00862990" w:rsidP="000E683F">
    <w:pPr>
      <w:pStyle w:val="20"/>
      <w:shd w:val="clear" w:color="auto" w:fill="auto"/>
      <w:spacing w:after="0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E683F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467ED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52766"/>
    <w:rsid w:val="00B76A35"/>
    <w:rsid w:val="00B90FAD"/>
    <w:rsid w:val="00B975D8"/>
    <w:rsid w:val="00BA02ED"/>
    <w:rsid w:val="00BA3AB4"/>
    <w:rsid w:val="00BB2AE1"/>
    <w:rsid w:val="00BD4A71"/>
    <w:rsid w:val="00C12782"/>
    <w:rsid w:val="00C16815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4865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Прокопенко Олена Олександрівна</cp:lastModifiedBy>
  <cp:revision>3</cp:revision>
  <cp:lastPrinted>2022-12-21T09:48:00Z</cp:lastPrinted>
  <dcterms:created xsi:type="dcterms:W3CDTF">2022-12-06T10:45:00Z</dcterms:created>
  <dcterms:modified xsi:type="dcterms:W3CDTF">2022-12-21T09:48:00Z</dcterms:modified>
</cp:coreProperties>
</file>