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624000172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624000172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67E640A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DF3534">
        <w:rPr>
          <w:b/>
          <w:bCs/>
          <w:sz w:val="24"/>
          <w:szCs w:val="24"/>
          <w:lang w:val="ru-RU"/>
        </w:rPr>
        <w:t>ПЗН-66381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DF3534">
        <w:rPr>
          <w:b/>
          <w:bCs/>
          <w:sz w:val="24"/>
          <w:szCs w:val="24"/>
          <w:lang w:val="ru-RU"/>
        </w:rPr>
        <w:t>28.05.2024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01FC8DA0" w:rsidR="00E17376" w:rsidRDefault="00594108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bCs/>
          <w:i/>
          <w:iCs/>
          <w:sz w:val="24"/>
          <w:szCs w:val="24"/>
        </w:rPr>
      </w:pPr>
      <w:r w:rsidRPr="00594108">
        <w:rPr>
          <w:b/>
          <w:bCs/>
          <w:i/>
          <w:iCs/>
          <w:sz w:val="24"/>
          <w:szCs w:val="24"/>
        </w:rPr>
        <w:t>Про надання громадянину Кваші Геннадію Олександровичу, громадянину Кваші Володимиру Геннадійовичу</w:t>
      </w:r>
      <w:r w:rsidR="00635B29">
        <w:rPr>
          <w:b/>
          <w:bCs/>
          <w:i/>
          <w:iCs/>
          <w:sz w:val="24"/>
          <w:szCs w:val="24"/>
        </w:rPr>
        <w:t>,</w:t>
      </w:r>
      <w:r w:rsidRPr="00594108">
        <w:rPr>
          <w:b/>
          <w:bCs/>
          <w:i/>
          <w:iCs/>
          <w:sz w:val="24"/>
          <w:szCs w:val="24"/>
        </w:rPr>
        <w:t xml:space="preserve"> громадянці Бойківській Світлані Геннадіївні дозволу на розроблення </w:t>
      </w:r>
      <w:proofErr w:type="spellStart"/>
      <w:r w:rsidRPr="00594108">
        <w:rPr>
          <w:b/>
          <w:bCs/>
          <w:i/>
          <w:iCs/>
          <w:sz w:val="24"/>
          <w:szCs w:val="24"/>
        </w:rPr>
        <w:t>проєкту</w:t>
      </w:r>
      <w:proofErr w:type="spellEnd"/>
      <w:r w:rsidRPr="00594108">
        <w:rPr>
          <w:b/>
          <w:bCs/>
          <w:i/>
          <w:iCs/>
          <w:sz w:val="24"/>
          <w:szCs w:val="24"/>
        </w:rPr>
        <w:t xml:space="preserve"> землеустрою щодо відведення земельної діля</w:t>
      </w:r>
      <w:r w:rsidR="00635B29">
        <w:rPr>
          <w:b/>
          <w:bCs/>
          <w:i/>
          <w:iCs/>
          <w:sz w:val="24"/>
          <w:szCs w:val="24"/>
        </w:rPr>
        <w:t>нки у спільну часткову власність</w:t>
      </w:r>
      <w:r w:rsidRPr="00594108">
        <w:rPr>
          <w:b/>
          <w:bCs/>
          <w:i/>
          <w:iCs/>
          <w:sz w:val="24"/>
          <w:szCs w:val="24"/>
        </w:rPr>
        <w:t xml:space="preserve"> для будівництва і обслуговування житлового будинку, господарських будівель і споруд на  вул. Вільховій, 4 у Дніпровському районі міста Києва</w:t>
      </w:r>
    </w:p>
    <w:p w14:paraId="07F9F426" w14:textId="5BE76590" w:rsidR="004F0681" w:rsidRDefault="00BF7463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Фізичні особи</w:t>
      </w:r>
      <w:r w:rsidR="00604821" w:rsidRPr="003774B2">
        <w:rPr>
          <w:b/>
          <w:bCs/>
          <w:sz w:val="24"/>
          <w:szCs w:val="24"/>
        </w:rPr>
        <w:t>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Кваша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Геннадій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Олександрович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, Кваша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Володимир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Геннадійович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Бойківська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Світлана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Геннадіївна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09.05.2024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624000172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152A5FE8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594108">
        <w:rPr>
          <w:sz w:val="24"/>
          <w:szCs w:val="24"/>
        </w:rPr>
        <w:t xml:space="preserve">обліковий код </w:t>
      </w:r>
      <w:r w:rsidRPr="003774B2">
        <w:rPr>
          <w:sz w:val="24"/>
          <w:szCs w:val="24"/>
        </w:rPr>
        <w:t xml:space="preserve"> </w:t>
      </w:r>
      <w:r w:rsidR="00765699" w:rsidRPr="003774B2">
        <w:rPr>
          <w:sz w:val="24"/>
          <w:szCs w:val="24"/>
        </w:rPr>
        <w:t>66:042:0018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Дніпровський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Вільхова, 4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06D317A0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635B29">
              <w:rPr>
                <w:i/>
                <w:sz w:val="24"/>
                <w:szCs w:val="24"/>
              </w:rPr>
              <w:t>Орієнтовна</w:t>
            </w:r>
            <w:r w:rsidR="005F0B17">
              <w:rPr>
                <w:i/>
                <w:sz w:val="24"/>
                <w:szCs w:val="24"/>
              </w:rPr>
              <w:t xml:space="preserve"> п</w:t>
            </w:r>
            <w:r w:rsidR="008A63AB" w:rsidRPr="008A63AB">
              <w:rPr>
                <w:i/>
                <w:sz w:val="24"/>
                <w:szCs w:val="24"/>
              </w:rPr>
              <w:t>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0,03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7A534B57" w:rsidR="00F66E0E" w:rsidRPr="009446B9" w:rsidRDefault="00594108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594108">
              <w:rPr>
                <w:rFonts w:ascii="Times New Roman" w:hAnsi="Times New Roman" w:cs="Times New Roman"/>
                <w:bCs/>
                <w:i/>
              </w:rPr>
              <w:t>право в процесі оформлення (власність)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69AB24B3" w:rsidR="00F66E0E" w:rsidRPr="009446B9" w:rsidRDefault="00594108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594108">
              <w:rPr>
                <w:rFonts w:ascii="Times New Roman" w:hAnsi="Times New Roman" w:cs="Times New Roman"/>
                <w:bCs/>
                <w:i/>
                <w:iCs/>
              </w:rPr>
              <w:t>для буд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івництва і обслуговування житлового</w:t>
            </w:r>
            <w:r w:rsidRPr="00594108">
              <w:rPr>
                <w:rFonts w:ascii="Times New Roman" w:hAnsi="Times New Roman" w:cs="Times New Roman"/>
                <w:bCs/>
                <w:i/>
                <w:iCs/>
              </w:rPr>
              <w:t xml:space="preserve"> будинку, господарських будівель і споруд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38C31C0D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="005F0B17">
        <w:rPr>
          <w:sz w:val="24"/>
          <w:szCs w:val="24"/>
        </w:rPr>
        <w:t xml:space="preserve"> зацікавлених осіб</w:t>
      </w:r>
      <w:r w:rsidRPr="0070402C">
        <w:rPr>
          <w:sz w:val="24"/>
          <w:szCs w:val="24"/>
        </w:rPr>
        <w:t xml:space="preserve">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="00594108">
        <w:rPr>
          <w:sz w:val="24"/>
          <w:szCs w:val="24"/>
        </w:rPr>
        <w:t xml:space="preserve"> рішення Київської міської ради «</w:t>
      </w:r>
      <w:r w:rsidR="00594108" w:rsidRPr="00594108">
        <w:rPr>
          <w:sz w:val="24"/>
          <w:szCs w:val="24"/>
        </w:rPr>
        <w:t>Про надання громадянину Кваші Геннадію Олександровичу, громадянину Кваші Володимиру Геннадійовичу</w:t>
      </w:r>
      <w:r w:rsidR="005F0B17">
        <w:rPr>
          <w:sz w:val="24"/>
          <w:szCs w:val="24"/>
        </w:rPr>
        <w:t>,</w:t>
      </w:r>
      <w:r w:rsidR="00594108" w:rsidRPr="00594108">
        <w:rPr>
          <w:sz w:val="24"/>
          <w:szCs w:val="24"/>
        </w:rPr>
        <w:t xml:space="preserve"> громадянці Бойківській Світлані Геннадіївні дозволу на розроблення </w:t>
      </w:r>
      <w:proofErr w:type="spellStart"/>
      <w:r w:rsidR="00594108" w:rsidRPr="00594108">
        <w:rPr>
          <w:sz w:val="24"/>
          <w:szCs w:val="24"/>
        </w:rPr>
        <w:t>проєкту</w:t>
      </w:r>
      <w:proofErr w:type="spellEnd"/>
      <w:r w:rsidR="00594108" w:rsidRPr="00594108">
        <w:rPr>
          <w:sz w:val="24"/>
          <w:szCs w:val="24"/>
        </w:rPr>
        <w:t xml:space="preserve"> землеустрою щодо відведення земельної ділянки у спільну часткову власність для будівництва і обслуговування житлового будинку, господарських будівель і споруд на  вул. Вільховій, 4 у Дніпровському районі міста Києва</w:t>
      </w:r>
      <w:r w:rsidR="00594108">
        <w:rPr>
          <w:sz w:val="24"/>
          <w:szCs w:val="24"/>
        </w:rPr>
        <w:t>».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CB754A1" w14:textId="77777777" w:rsidR="00594108" w:rsidRPr="00594108" w:rsidRDefault="00604821" w:rsidP="00594108">
      <w:pPr>
        <w:pStyle w:val="1"/>
        <w:shd w:val="clear" w:color="auto" w:fill="auto"/>
        <w:spacing w:after="120" w:line="233" w:lineRule="auto"/>
        <w:jc w:val="both"/>
        <w:rPr>
          <w:color w:val="000000" w:themeColor="text1"/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 xml:space="preserve">забезпечення реалізації встановленого Земельним кодексом України права </w:t>
      </w:r>
      <w:r w:rsidR="00594108" w:rsidRPr="00594108">
        <w:rPr>
          <w:color w:val="000000" w:themeColor="text1"/>
          <w:sz w:val="24"/>
          <w:szCs w:val="24"/>
        </w:rPr>
        <w:t>осіб на оформлення права власності на землю.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0E9FC9D9" w14:textId="093FC270" w:rsidR="005E3DD9" w:rsidRDefault="00267239" w:rsidP="005E3DD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06160A">
              <w:rPr>
                <w:i/>
                <w:sz w:val="24"/>
                <w:szCs w:val="24"/>
              </w:rPr>
              <w:t>Земельна ділянка забудована житловим</w:t>
            </w:r>
            <w:r w:rsidR="00D357DD">
              <w:rPr>
                <w:i/>
                <w:sz w:val="24"/>
                <w:szCs w:val="24"/>
              </w:rPr>
              <w:t xml:space="preserve"> будинком</w:t>
            </w:r>
            <w:r w:rsidR="005E3DD9">
              <w:rPr>
                <w:i/>
                <w:sz w:val="24"/>
                <w:szCs w:val="24"/>
              </w:rPr>
              <w:t xml:space="preserve"> садибного типу</w:t>
            </w:r>
            <w:r w:rsidR="00D357DD">
              <w:rPr>
                <w:i/>
                <w:sz w:val="24"/>
                <w:szCs w:val="24"/>
              </w:rPr>
              <w:t xml:space="preserve"> загальною площею 161,9</w:t>
            </w:r>
            <w:r w:rsidRPr="000616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60A">
              <w:rPr>
                <w:i/>
                <w:sz w:val="24"/>
                <w:szCs w:val="24"/>
              </w:rPr>
              <w:t>кв.м</w:t>
            </w:r>
            <w:proofErr w:type="spellEnd"/>
            <w:r w:rsidRPr="0006160A">
              <w:rPr>
                <w:i/>
                <w:sz w:val="24"/>
                <w:szCs w:val="24"/>
              </w:rPr>
              <w:t>, який належить на праві спільної часткової власності</w:t>
            </w:r>
            <w:r w:rsidRPr="0006160A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громадян</w:t>
            </w:r>
            <w:r w:rsidR="00D357DD">
              <w:rPr>
                <w:bCs/>
                <w:i/>
                <w:iCs/>
                <w:sz w:val="24"/>
                <w:szCs w:val="24"/>
              </w:rPr>
              <w:t>ам Кваші Геннадію Олександровичу, Кваші Володимиру Геннадійовичу</w:t>
            </w:r>
            <w:r>
              <w:rPr>
                <w:bCs/>
                <w:i/>
                <w:iCs/>
                <w:sz w:val="24"/>
                <w:szCs w:val="24"/>
              </w:rPr>
              <w:t xml:space="preserve"> та</w:t>
            </w:r>
            <w:r w:rsidR="00D357DD">
              <w:rPr>
                <w:bCs/>
                <w:i/>
                <w:iCs/>
                <w:sz w:val="24"/>
                <w:szCs w:val="24"/>
              </w:rPr>
              <w:t xml:space="preserve"> Бойківській Світлані Геннадіївні</w:t>
            </w:r>
            <w:r>
              <w:rPr>
                <w:bCs/>
                <w:i/>
                <w:iCs/>
                <w:sz w:val="24"/>
                <w:szCs w:val="24"/>
              </w:rPr>
              <w:t>, а саме:</w:t>
            </w:r>
            <w:r w:rsidRPr="00027A96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частка громадянина</w:t>
            </w:r>
            <w:r w:rsidR="00D357DD">
              <w:rPr>
                <w:bCs/>
                <w:i/>
                <w:iCs/>
                <w:sz w:val="24"/>
                <w:szCs w:val="24"/>
              </w:rPr>
              <w:t xml:space="preserve"> Кваші Геннадія Олександровича  - 1/3</w:t>
            </w:r>
            <w:r>
              <w:rPr>
                <w:bCs/>
                <w:i/>
                <w:iCs/>
                <w:sz w:val="24"/>
                <w:szCs w:val="24"/>
              </w:rPr>
              <w:t>,</w:t>
            </w:r>
            <w:r w:rsidR="00D357DD">
              <w:rPr>
                <w:bCs/>
                <w:i/>
                <w:iCs/>
                <w:sz w:val="24"/>
                <w:szCs w:val="24"/>
              </w:rPr>
              <w:t xml:space="preserve"> час</w:t>
            </w:r>
            <w:r w:rsidR="00BF7463">
              <w:rPr>
                <w:bCs/>
                <w:i/>
                <w:iCs/>
                <w:sz w:val="24"/>
                <w:szCs w:val="24"/>
              </w:rPr>
              <w:t>тка громадянина Кваші Володимира Геннадійовича</w:t>
            </w:r>
            <w:r w:rsidR="00D357DD">
              <w:rPr>
                <w:bCs/>
                <w:i/>
                <w:iCs/>
                <w:sz w:val="24"/>
                <w:szCs w:val="24"/>
              </w:rPr>
              <w:t xml:space="preserve">  - 1/3,</w:t>
            </w:r>
            <w:r>
              <w:rPr>
                <w:bCs/>
                <w:i/>
                <w:iCs/>
                <w:sz w:val="24"/>
                <w:szCs w:val="24"/>
              </w:rPr>
              <w:t xml:space="preserve"> частка громадянки </w:t>
            </w:r>
            <w:r w:rsidR="005E3DD9">
              <w:rPr>
                <w:bCs/>
                <w:i/>
                <w:iCs/>
                <w:sz w:val="24"/>
                <w:szCs w:val="24"/>
              </w:rPr>
              <w:t>Бойківської Світлани Геннадіївни</w:t>
            </w:r>
            <w:r w:rsidR="00D357DD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- 1</w:t>
            </w:r>
            <w:r w:rsidR="00D357DD">
              <w:rPr>
                <w:bCs/>
                <w:i/>
                <w:iCs/>
                <w:sz w:val="24"/>
                <w:szCs w:val="24"/>
              </w:rPr>
              <w:t>/3</w:t>
            </w:r>
            <w:r w:rsidRPr="0006160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66778">
              <w:rPr>
                <w:i/>
                <w:sz w:val="24"/>
                <w:szCs w:val="24"/>
              </w:rPr>
              <w:t xml:space="preserve">реєстраційний номер об'єкта нерухомого </w:t>
            </w:r>
            <w:r w:rsidR="00D357DD">
              <w:rPr>
                <w:i/>
                <w:sz w:val="24"/>
                <w:szCs w:val="24"/>
              </w:rPr>
              <w:t>майна 2910322680000</w:t>
            </w:r>
            <w:r w:rsidRPr="00B66778">
              <w:rPr>
                <w:i/>
                <w:sz w:val="24"/>
                <w:szCs w:val="24"/>
              </w:rPr>
              <w:t>, запис</w:t>
            </w:r>
            <w:r w:rsidR="005E3DD9">
              <w:rPr>
                <w:i/>
                <w:sz w:val="24"/>
                <w:szCs w:val="24"/>
              </w:rPr>
              <w:t>и</w:t>
            </w:r>
            <w:r w:rsidRPr="00B66778">
              <w:rPr>
                <w:i/>
                <w:sz w:val="24"/>
                <w:szCs w:val="24"/>
              </w:rPr>
              <w:t xml:space="preserve"> про право власності </w:t>
            </w:r>
            <w:r w:rsidR="00D357DD">
              <w:rPr>
                <w:i/>
                <w:sz w:val="24"/>
                <w:szCs w:val="24"/>
              </w:rPr>
              <w:t>від 28.03.2024 № 54416425</w:t>
            </w:r>
            <w:r w:rsidR="005E3DD9">
              <w:rPr>
                <w:i/>
                <w:sz w:val="24"/>
                <w:szCs w:val="24"/>
              </w:rPr>
              <w:t xml:space="preserve">, </w:t>
            </w:r>
            <w:r w:rsidR="00BF7463">
              <w:rPr>
                <w:i/>
                <w:sz w:val="24"/>
                <w:szCs w:val="24"/>
              </w:rPr>
              <w:t xml:space="preserve">                             </w:t>
            </w:r>
            <w:r w:rsidR="005E3DD9">
              <w:rPr>
                <w:i/>
                <w:sz w:val="24"/>
                <w:szCs w:val="24"/>
              </w:rPr>
              <w:t>№ 54416393, № 54416283 (</w:t>
            </w:r>
            <w:r w:rsidRPr="00B66778">
              <w:rPr>
                <w:i/>
                <w:sz w:val="24"/>
                <w:szCs w:val="24"/>
              </w:rPr>
              <w:t xml:space="preserve">інформаційна довідка з Державного реєстру речових прав на нерухоме майно про реєстрацію права власності від </w:t>
            </w:r>
            <w:r w:rsidR="007D556D" w:rsidRPr="007D556D">
              <w:rPr>
                <w:i/>
                <w:sz w:val="24"/>
                <w:szCs w:val="24"/>
              </w:rPr>
              <w:t xml:space="preserve">11.06.2024 </w:t>
            </w:r>
          </w:p>
          <w:p w14:paraId="687E2619" w14:textId="1C94AC39" w:rsidR="0041184B" w:rsidRPr="00267239" w:rsidRDefault="007D556D" w:rsidP="005E3DD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D556D">
              <w:rPr>
                <w:i/>
                <w:sz w:val="24"/>
                <w:szCs w:val="24"/>
              </w:rPr>
              <w:t>№ 382436615</w:t>
            </w:r>
            <w:r w:rsidR="00267239" w:rsidRPr="007D556D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53F95002" w:rsidR="0041184B" w:rsidRPr="0041184B" w:rsidRDefault="00267239" w:rsidP="0039558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267239">
              <w:rPr>
                <w:bCs/>
                <w:i/>
                <w:sz w:val="24"/>
                <w:szCs w:val="24"/>
              </w:rPr>
              <w:t>Відповідно до Генера</w:t>
            </w:r>
            <w:r w:rsidR="0039558B">
              <w:rPr>
                <w:bCs/>
                <w:i/>
                <w:sz w:val="24"/>
                <w:szCs w:val="24"/>
              </w:rPr>
              <w:t>льного плану міста Києва та прое</w:t>
            </w:r>
            <w:r w:rsidRPr="00267239">
              <w:rPr>
                <w:bCs/>
                <w:i/>
                <w:sz w:val="24"/>
                <w:szCs w:val="24"/>
              </w:rPr>
              <w:t>кту планування його приміської зони на період до 2020 року</w:t>
            </w:r>
            <w:r w:rsidRPr="00267239">
              <w:rPr>
                <w:i/>
                <w:sz w:val="24"/>
                <w:szCs w:val="24"/>
              </w:rPr>
              <w:t>, затвердженого рішенням Київської міської ради  від 28.03.2002 № 370/1804, земельна ділянка за функціональним призначенням належить до території жит</w:t>
            </w:r>
            <w:r w:rsidR="00241E8D">
              <w:rPr>
                <w:i/>
                <w:sz w:val="24"/>
                <w:szCs w:val="24"/>
              </w:rPr>
              <w:t>лової садибної</w:t>
            </w:r>
            <w:r w:rsidRPr="00267239">
              <w:rPr>
                <w:i/>
                <w:sz w:val="24"/>
                <w:szCs w:val="24"/>
              </w:rPr>
              <w:t xml:space="preserve"> забудови (існуючі) (</w:t>
            </w:r>
            <w:r w:rsidR="0039558B">
              <w:rPr>
                <w:i/>
                <w:sz w:val="24"/>
                <w:szCs w:val="24"/>
              </w:rPr>
              <w:t>довідка (</w:t>
            </w:r>
            <w:r w:rsidRPr="00267239">
              <w:rPr>
                <w:i/>
                <w:sz w:val="24"/>
                <w:szCs w:val="24"/>
              </w:rPr>
              <w:t>витяг</w:t>
            </w:r>
            <w:r w:rsidR="0039558B">
              <w:rPr>
                <w:i/>
                <w:sz w:val="24"/>
                <w:szCs w:val="24"/>
              </w:rPr>
              <w:t>)</w:t>
            </w:r>
            <w:r w:rsidRPr="00267239">
              <w:rPr>
                <w:i/>
                <w:sz w:val="24"/>
                <w:szCs w:val="24"/>
              </w:rPr>
              <w:t xml:space="preserve"> з </w:t>
            </w:r>
            <w:r w:rsidR="0039558B">
              <w:rPr>
                <w:i/>
                <w:sz w:val="24"/>
                <w:szCs w:val="24"/>
              </w:rPr>
              <w:t>містобудівного кадастру, надана</w:t>
            </w:r>
            <w:r w:rsidRPr="00267239">
              <w:rPr>
                <w:i/>
                <w:sz w:val="24"/>
                <w:szCs w:val="24"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</w:t>
            </w:r>
            <w:r w:rsidR="00241E8D">
              <w:rPr>
                <w:i/>
                <w:sz w:val="24"/>
                <w:szCs w:val="24"/>
              </w:rPr>
              <w:t>ації) від 13.05</w:t>
            </w:r>
            <w:r w:rsidRPr="00267239">
              <w:rPr>
                <w:i/>
                <w:sz w:val="24"/>
                <w:szCs w:val="24"/>
              </w:rPr>
              <w:t xml:space="preserve">.2024  </w:t>
            </w:r>
            <w:r w:rsidR="00241E8D">
              <w:rPr>
                <w:i/>
                <w:sz w:val="24"/>
                <w:szCs w:val="24"/>
              </w:rPr>
              <w:t>№ 055-4623</w:t>
            </w:r>
            <w:r w:rsidRPr="00267239">
              <w:rPr>
                <w:i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267239">
        <w:trPr>
          <w:cantSplit/>
          <w:trHeight w:val="4656"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AD6366D" w14:textId="4EF03C22" w:rsidR="00267239" w:rsidRPr="00267239" w:rsidRDefault="00267239" w:rsidP="0026723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2672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2672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2672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16F2BD7B" w14:textId="77777777" w:rsidR="00267239" w:rsidRPr="00267239" w:rsidRDefault="00267239" w:rsidP="0026723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672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 </w:t>
            </w:r>
          </w:p>
          <w:p w14:paraId="6528D3CD" w14:textId="5BCB9AB7" w:rsidR="00FD241E" w:rsidRPr="003774B2" w:rsidRDefault="00267239" w:rsidP="002672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672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2672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2672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62F34BAE" w14:textId="77777777" w:rsidR="00267239" w:rsidRPr="00267239" w:rsidRDefault="00267239" w:rsidP="00267239">
      <w:pPr>
        <w:pStyle w:val="1"/>
        <w:spacing w:after="0"/>
        <w:ind w:firstLine="425"/>
        <w:jc w:val="both"/>
        <w:rPr>
          <w:sz w:val="24"/>
          <w:szCs w:val="24"/>
        </w:rPr>
      </w:pPr>
      <w:r w:rsidRPr="00267239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 118 Земельного кодексу України.</w:t>
      </w:r>
    </w:p>
    <w:p w14:paraId="2AAB3CE9" w14:textId="674960EC" w:rsidR="00267239" w:rsidRPr="00267239" w:rsidRDefault="00267239" w:rsidP="00267239">
      <w:pPr>
        <w:pStyle w:val="1"/>
        <w:spacing w:after="0"/>
        <w:ind w:firstLine="425"/>
        <w:jc w:val="both"/>
        <w:rPr>
          <w:sz w:val="24"/>
          <w:szCs w:val="24"/>
        </w:rPr>
      </w:pPr>
      <w:proofErr w:type="spellStart"/>
      <w:r w:rsidRPr="00267239">
        <w:rPr>
          <w:sz w:val="24"/>
          <w:szCs w:val="24"/>
        </w:rPr>
        <w:t>Проєкт</w:t>
      </w:r>
      <w:proofErr w:type="spellEnd"/>
      <w:r w:rsidRPr="00267239">
        <w:rPr>
          <w:sz w:val="24"/>
          <w:szCs w:val="24"/>
        </w:rPr>
        <w:t xml:space="preserve"> рішення</w:t>
      </w:r>
      <w:r w:rsidR="00F922AB">
        <w:rPr>
          <w:sz w:val="24"/>
          <w:szCs w:val="24"/>
        </w:rPr>
        <w:t xml:space="preserve"> містить інформацію про заявників</w:t>
      </w:r>
      <w:r w:rsidRPr="00267239">
        <w:rPr>
          <w:sz w:val="24"/>
          <w:szCs w:val="24"/>
        </w:rPr>
        <w:t>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18908996" w14:textId="2AB3ABC3" w:rsidR="00267239" w:rsidRDefault="00267239" w:rsidP="00267239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</w:rPr>
      </w:pPr>
      <w:proofErr w:type="spellStart"/>
      <w:r w:rsidRPr="00267239">
        <w:rPr>
          <w:sz w:val="24"/>
          <w:szCs w:val="24"/>
        </w:rPr>
        <w:t>Проєкт</w:t>
      </w:r>
      <w:proofErr w:type="spellEnd"/>
      <w:r w:rsidRPr="00267239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A4FB597" w14:textId="233ED1D8" w:rsidR="00B4608F" w:rsidRDefault="00241E8D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7239" w:rsidRPr="00267239">
        <w:rPr>
          <w:sz w:val="24"/>
          <w:szCs w:val="24"/>
        </w:rPr>
        <w:t xml:space="preserve">Наслідками прийняття розробленого </w:t>
      </w:r>
      <w:proofErr w:type="spellStart"/>
      <w:r w:rsidR="00267239" w:rsidRPr="00267239">
        <w:rPr>
          <w:sz w:val="24"/>
          <w:szCs w:val="24"/>
        </w:rPr>
        <w:t>проєкту</w:t>
      </w:r>
      <w:proofErr w:type="spellEnd"/>
      <w:r w:rsidR="00267239" w:rsidRPr="00267239">
        <w:rPr>
          <w:sz w:val="24"/>
          <w:szCs w:val="24"/>
        </w:rPr>
        <w:t xml:space="preserve"> рішення стане реалізація громадянами  своїх прав на оформлення земельної ділянки.    </w:t>
      </w: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bookmarkStart w:id="0" w:name="_GoBack"/>
      <w:bookmarkEnd w:id="0"/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DF3534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1AFF89EB" w:rsidR="00114807" w:rsidRPr="00D357DD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  <w:lang w:val="en-US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267239">
      <w:headerReference w:type="default" r:id="rId10"/>
      <w:footerReference w:type="default" r:id="rId11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2E20703A" w:rsidR="00862990" w:rsidRPr="007B7541" w:rsidRDefault="004347F6" w:rsidP="00241E8D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594108">
      <w:rPr>
        <w:sz w:val="12"/>
        <w:szCs w:val="12"/>
        <w:lang w:val="ru-RU"/>
      </w:rPr>
      <w:t>ПЗН-66381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28.05.2024</w:t>
    </w:r>
    <w:r w:rsidR="00862990">
      <w:rPr>
        <w:sz w:val="12"/>
        <w:szCs w:val="12"/>
      </w:rPr>
      <w:t xml:space="preserve"> до клопотання 624000172</w:t>
    </w:r>
    <w:r w:rsidR="00241E8D">
      <w:rPr>
        <w:sz w:val="12"/>
        <w:szCs w:val="12"/>
      </w:rPr>
      <w:t xml:space="preserve">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BF7463" w:rsidRPr="00BF7463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75FD0"/>
    <w:rsid w:val="001D6DF8"/>
    <w:rsid w:val="001E7256"/>
    <w:rsid w:val="00225462"/>
    <w:rsid w:val="00232D6B"/>
    <w:rsid w:val="00241E8D"/>
    <w:rsid w:val="002438BA"/>
    <w:rsid w:val="00267239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9558B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4108"/>
    <w:rsid w:val="00596FDB"/>
    <w:rsid w:val="005C5A73"/>
    <w:rsid w:val="005E3DD9"/>
    <w:rsid w:val="005F0B17"/>
    <w:rsid w:val="00604821"/>
    <w:rsid w:val="00611380"/>
    <w:rsid w:val="00612CED"/>
    <w:rsid w:val="00635B29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7D556D"/>
    <w:rsid w:val="00804744"/>
    <w:rsid w:val="008145CF"/>
    <w:rsid w:val="0081493A"/>
    <w:rsid w:val="00830DB0"/>
    <w:rsid w:val="008311C1"/>
    <w:rsid w:val="00836982"/>
    <w:rsid w:val="0084529A"/>
    <w:rsid w:val="008512A6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BF7463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357DD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DF3534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922AB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5438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Левченко Ірина Богданівна</dc:creator>
  <cp:keywords>{"doc_type_id":110,"doc_type_name":"Пояснювальна_записка Фіз передача дозвіл (клопотання)","doc_type_file":"Фіз_клопотання_дозвіл.docx"}</cp:keywords>
  <cp:lastModifiedBy>Левченко Ірина Богданівна</cp:lastModifiedBy>
  <cp:revision>13</cp:revision>
  <cp:lastPrinted>2021-11-25T14:49:00Z</cp:lastPrinted>
  <dcterms:created xsi:type="dcterms:W3CDTF">2024-06-11T11:34:00Z</dcterms:created>
  <dcterms:modified xsi:type="dcterms:W3CDTF">2024-06-18T08:46:00Z</dcterms:modified>
</cp:coreProperties>
</file>