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EF9C" w14:textId="77777777" w:rsidR="005B1C85" w:rsidRPr="005B1C85" w:rsidRDefault="005B1C85" w:rsidP="00553E8C">
      <w:pPr>
        <w:pStyle w:val="a4"/>
        <w:shd w:val="clear" w:color="auto" w:fill="auto"/>
        <w:jc w:val="center"/>
        <w:rPr>
          <w:b/>
          <w:bCs/>
        </w:rPr>
      </w:pPr>
      <w:bookmarkStart w:id="0" w:name="_GoBack"/>
      <w:bookmarkEnd w:id="0"/>
    </w:p>
    <w:p w14:paraId="53E72A87" w14:textId="746CBD1D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607680596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607680596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7580CC80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C52F9A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59146588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52F9A">
        <w:rPr>
          <w:b/>
          <w:bCs/>
          <w:iCs w:val="0"/>
          <w:sz w:val="24"/>
          <w:szCs w:val="24"/>
        </w:rPr>
        <w:t xml:space="preserve">№ </w:t>
      </w:r>
      <w:r w:rsidR="00045F3B" w:rsidRPr="00C52F9A">
        <w:rPr>
          <w:b/>
          <w:bCs/>
          <w:iCs w:val="0"/>
          <w:sz w:val="24"/>
          <w:szCs w:val="24"/>
        </w:rPr>
        <w:t>ПЗ</w:t>
      </w:r>
      <w:r w:rsidR="00B87AD3" w:rsidRPr="00C52F9A">
        <w:rPr>
          <w:b/>
          <w:bCs/>
          <w:iCs w:val="0"/>
          <w:sz w:val="24"/>
          <w:szCs w:val="24"/>
        </w:rPr>
        <w:t>Н</w:t>
      </w:r>
      <w:r w:rsidR="00C55118" w:rsidRPr="00C52F9A">
        <w:rPr>
          <w:b/>
          <w:bCs/>
          <w:sz w:val="24"/>
          <w:szCs w:val="24"/>
          <w:lang w:val="ru-RU"/>
        </w:rPr>
        <w:t>-45761</w:t>
      </w:r>
      <w:r w:rsidR="007B72F8" w:rsidRPr="00C52F9A">
        <w:rPr>
          <w:b/>
          <w:bCs/>
          <w:iCs w:val="0"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C55118" w:rsidRPr="00CE47AC">
        <w:rPr>
          <w:b/>
          <w:bCs/>
          <w:sz w:val="24"/>
          <w:szCs w:val="24"/>
          <w:lang w:val="ru-RU"/>
        </w:rPr>
        <w:t>1</w:t>
      </w:r>
      <w:r w:rsidR="006E43AD">
        <w:rPr>
          <w:b/>
          <w:bCs/>
          <w:sz w:val="24"/>
          <w:szCs w:val="24"/>
          <w:lang w:val="ru-RU"/>
        </w:rPr>
        <w:t>2</w:t>
      </w:r>
      <w:r w:rsidR="00C55118" w:rsidRPr="00CE47AC">
        <w:rPr>
          <w:b/>
          <w:bCs/>
          <w:sz w:val="24"/>
          <w:szCs w:val="24"/>
          <w:lang w:val="ru-RU"/>
        </w:rPr>
        <w:t>.</w:t>
      </w:r>
      <w:r w:rsidR="006E43AD">
        <w:rPr>
          <w:b/>
          <w:bCs/>
          <w:sz w:val="24"/>
          <w:szCs w:val="24"/>
          <w:lang w:val="ru-RU"/>
        </w:rPr>
        <w:t>01</w:t>
      </w:r>
      <w:r w:rsidR="00C55118" w:rsidRPr="00CE47AC">
        <w:rPr>
          <w:b/>
          <w:bCs/>
          <w:sz w:val="24"/>
          <w:szCs w:val="24"/>
          <w:lang w:val="ru-RU"/>
        </w:rPr>
        <w:t>.202</w:t>
      </w:r>
      <w:r w:rsidR="006E43AD">
        <w:rPr>
          <w:b/>
          <w:bCs/>
          <w:sz w:val="24"/>
          <w:szCs w:val="24"/>
          <w:lang w:val="ru-RU"/>
        </w:rPr>
        <w:t>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6B843C1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EC5A03" w:rsidRPr="0073445F">
        <w:rPr>
          <w:b/>
          <w:i/>
          <w:sz w:val="24"/>
          <w:szCs w:val="24"/>
        </w:rPr>
        <w:t>т</w:t>
      </w:r>
      <w:r w:rsidR="000B1E6A" w:rsidRPr="0073445F">
        <w:rPr>
          <w:b/>
          <w:i/>
          <w:sz w:val="24"/>
          <w:szCs w:val="24"/>
        </w:rPr>
        <w:t>овариств</w:t>
      </w:r>
      <w:r w:rsidR="00EC5A03" w:rsidRPr="0073445F">
        <w:rPr>
          <w:b/>
          <w:i/>
          <w:sz w:val="24"/>
          <w:szCs w:val="24"/>
        </w:rPr>
        <w:t>у</w:t>
      </w:r>
      <w:r w:rsidR="000B1E6A" w:rsidRPr="0073445F">
        <w:rPr>
          <w:b/>
          <w:i/>
          <w:sz w:val="24"/>
          <w:szCs w:val="24"/>
        </w:rPr>
        <w:t xml:space="preserve"> з обмеженою ві</w:t>
      </w:r>
      <w:r w:rsidR="00EC5A03" w:rsidRPr="0073445F">
        <w:rPr>
          <w:b/>
          <w:i/>
          <w:sz w:val="24"/>
          <w:szCs w:val="24"/>
        </w:rPr>
        <w:t>дповідальністю «АВТОБАНСЕРВІС»</w:t>
      </w:r>
      <w:r w:rsidR="00C52F9A">
        <w:rPr>
          <w:b/>
          <w:i/>
          <w:sz w:val="24"/>
          <w:szCs w:val="24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</w:t>
      </w:r>
      <w:r w:rsidR="00C52F9A">
        <w:rPr>
          <w:b/>
          <w:i/>
          <w:sz w:val="24"/>
          <w:szCs w:val="24"/>
        </w:rPr>
        <w:t>их</w:t>
      </w:r>
      <w:r w:rsidR="000B1E6A" w:rsidRPr="000B1E6A">
        <w:rPr>
          <w:b/>
          <w:i/>
          <w:sz w:val="24"/>
          <w:szCs w:val="24"/>
        </w:rPr>
        <w:t xml:space="preserve"> ділян</w:t>
      </w:r>
      <w:r w:rsidR="00C52F9A">
        <w:rPr>
          <w:b/>
          <w:i/>
          <w:sz w:val="24"/>
          <w:szCs w:val="24"/>
        </w:rPr>
        <w:t>ок</w:t>
      </w:r>
      <w:r w:rsidRPr="000B1E6A">
        <w:rPr>
          <w:b/>
          <w:i/>
          <w:sz w:val="24"/>
          <w:szCs w:val="24"/>
        </w:rPr>
        <w:t xml:space="preserve"> </w:t>
      </w:r>
      <w:r w:rsidR="0073445F">
        <w:rPr>
          <w:b/>
          <w:i/>
          <w:sz w:val="24"/>
          <w:szCs w:val="24"/>
        </w:rPr>
        <w:t>від </w:t>
      </w:r>
      <w:r w:rsidR="0073445F">
        <w:rPr>
          <w:b/>
          <w:i/>
          <w:iCs/>
          <w:sz w:val="24"/>
          <w:szCs w:val="24"/>
        </w:rPr>
        <w:t>20 листопада 2017 року № 1214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E94376" w:rsidRPr="00037B84" w14:paraId="756D097C" w14:textId="77777777" w:rsidTr="00062908">
        <w:trPr>
          <w:cantSplit/>
          <w:trHeight w:val="572"/>
        </w:trPr>
        <w:tc>
          <w:tcPr>
            <w:tcW w:w="2694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14:paraId="3F99415B" w14:textId="2EC1BC1A" w:rsidR="00E94376" w:rsidRPr="000B1E6A" w:rsidRDefault="00C55118" w:rsidP="0006290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«АВТОБАНСЕРВІС</w:t>
            </w:r>
            <w:r w:rsidRPr="00CE47AC">
              <w:rPr>
                <w:i/>
                <w:sz w:val="24"/>
                <w:szCs w:val="24"/>
              </w:rPr>
              <w:t>»</w:t>
            </w:r>
            <w:r w:rsidR="000B1E6A" w:rsidRPr="00CE47AC">
              <w:rPr>
                <w:i/>
                <w:sz w:val="24"/>
                <w:szCs w:val="24"/>
              </w:rPr>
              <w:t xml:space="preserve"> (</w:t>
            </w:r>
            <w:r w:rsidR="00FF0A55" w:rsidRPr="00CE47AC">
              <w:rPr>
                <w:i/>
                <w:sz w:val="24"/>
                <w:szCs w:val="24"/>
              </w:rPr>
              <w:t>ЄДРПОУ</w:t>
            </w:r>
            <w:r w:rsidR="002B5778" w:rsidRPr="00CE47AC">
              <w:rPr>
                <w:i/>
                <w:sz w:val="24"/>
                <w:szCs w:val="24"/>
              </w:rPr>
              <w:t xml:space="preserve"> </w:t>
            </w:r>
            <w:r w:rsidR="00CE47AC" w:rsidRPr="00CE47AC">
              <w:rPr>
                <w:i/>
                <w:color w:val="auto"/>
                <w:sz w:val="24"/>
                <w:szCs w:val="24"/>
                <w:lang w:bidi="ar-SA"/>
              </w:rPr>
              <w:t>31982734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CE47AC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 </w:t>
            </w:r>
            <w:r w:rsidR="00CE47AC" w:rsidRPr="00E14097">
              <w:rPr>
                <w:i/>
                <w:sz w:val="24"/>
                <w:szCs w:val="24"/>
              </w:rPr>
              <w:t>«АВТОБАНСЕРВІС»</w:t>
            </w:r>
            <w:r w:rsidR="00CE47AC">
              <w:rPr>
                <w:i/>
                <w:sz w:val="24"/>
                <w:szCs w:val="24"/>
              </w:rPr>
              <w:t>)</w:t>
            </w:r>
          </w:p>
        </w:tc>
      </w:tr>
      <w:tr w:rsidR="00E94376" w:rsidRPr="00037B84" w14:paraId="34CD5485" w14:textId="77777777" w:rsidTr="00062908">
        <w:trPr>
          <w:cantSplit/>
          <w:trHeight w:val="974"/>
        </w:trPr>
        <w:tc>
          <w:tcPr>
            <w:tcW w:w="2694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CE47AC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CE47AC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CE47A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CE47A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CE47A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229" w:type="dxa"/>
          </w:tcPr>
          <w:p w14:paraId="6E38E005" w14:textId="77777777" w:rsidR="00CE0BF6" w:rsidRPr="00CE0BF6" w:rsidRDefault="00CE0BF6" w:rsidP="00CE0BF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СТЕШЕНКО ВЯЧЕСЛАВ ОЛЕКСАНДРОВИЧ</w:t>
            </w:r>
          </w:p>
          <w:p w14:paraId="16F7032D" w14:textId="1ECB6D9D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Україна, 04111, місто Київ,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вул. </w:t>
            </w: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Щ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ербакова</w:t>
            </w:r>
          </w:p>
          <w:p w14:paraId="1D41836E" w14:textId="79189276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2 086 500 грн</w:t>
            </w:r>
          </w:p>
          <w:p w14:paraId="755BE1A2" w14:textId="4F2CA0CB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6,5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60EBF96A" w14:textId="77777777" w:rsidR="00CE0BF6" w:rsidRPr="00CE0BF6" w:rsidRDefault="00CE0BF6" w:rsidP="00CE0BF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КАЦ ОЛЕКСАНДР НАУМОВИЧ</w:t>
            </w:r>
          </w:p>
          <w:p w14:paraId="57CC3132" w14:textId="72C3F14A" w:rsidR="00CE0BF6" w:rsidRPr="00CE0BF6" w:rsidRDefault="00227C8E" w:rsidP="00227C8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Україна, 01025, місто Київ, </w:t>
            </w:r>
            <w:r w:rsid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вул. </w:t>
            </w:r>
            <w:r w:rsidR="00CE0BF6"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В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олодимирська</w:t>
            </w:r>
          </w:p>
          <w:p w14:paraId="4F883543" w14:textId="5FC413CC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8 346 000 грн</w:t>
            </w:r>
          </w:p>
          <w:p w14:paraId="37702CF9" w14:textId="09A7B6B6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 26.</w:t>
            </w:r>
          </w:p>
          <w:p w14:paraId="657A19EE" w14:textId="77777777" w:rsidR="00CE0BF6" w:rsidRPr="00CE0BF6" w:rsidRDefault="00CE0BF6" w:rsidP="00CE0BF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ГЛУБОКОВА НАТАЛІЯ АНАТОЛІЇВНА</w:t>
            </w:r>
          </w:p>
          <w:p w14:paraId="1841B89F" w14:textId="0CADD6EE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Україна, 01033, місто Київ,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вул. </w:t>
            </w: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М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икільсько</w:t>
            </w: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-Б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отанічна</w:t>
            </w:r>
          </w:p>
          <w:p w14:paraId="2C547A96" w14:textId="002BFA87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2 086 500 грн</w:t>
            </w:r>
          </w:p>
          <w:p w14:paraId="3FEFA9A1" w14:textId="5D5BB7C9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6,5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2D5019CE" w14:textId="3BEFE1AF" w:rsidR="00CE0BF6" w:rsidRPr="00CE0BF6" w:rsidRDefault="000E29F9" w:rsidP="00CE0BF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hyperlink r:id="rId11" w:history="1">
              <w:r w:rsidR="00CE0BF6" w:rsidRPr="00CE0BF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ПРИВАТНЕ АКЦІОНЕРНЕ ТОВАРИСТВО </w:t>
              </w:r>
              <w:r w:rsidR="00CE0BF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CE0BF6" w:rsidRPr="00CE0BF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СТРАХОВА КОМПАНІЯ </w:t>
              </w:r>
              <w:r w:rsidR="00CE0BF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CE0BF6" w:rsidRPr="00CE0BF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ЛІБЕРТІ</w:t>
              </w:r>
              <w:r w:rsidR="00CE0BF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»</w:t>
              </w:r>
            </w:hyperlink>
            <w:r w:rsid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(</w:t>
            </w:r>
            <w:r w:rsidR="00CE0BF6"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32708946</w:t>
            </w:r>
            <w:r w:rsid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  <w:p w14:paraId="0699391E" w14:textId="77777777" w:rsidR="00227C8E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Україна, Київська обл., Києво-Святошинсь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кий р-н, </w:t>
            </w:r>
          </w:p>
          <w:p w14:paraId="74FAAC2E" w14:textId="0185D717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село Святопетрівське</w:t>
            </w:r>
          </w:p>
          <w:p w14:paraId="4FAC5154" w14:textId="071B2E00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15 408 000 грн</w:t>
            </w:r>
          </w:p>
          <w:p w14:paraId="20B8DDA8" w14:textId="43392C05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 48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6F1C3D36" w14:textId="77777777" w:rsidR="00CE0BF6" w:rsidRPr="00CE0BF6" w:rsidRDefault="00CE0BF6" w:rsidP="00CE0BF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ЧЕРНЯВСЬКИЙ ІГОР ЄВГЕНОВИЧ</w:t>
            </w:r>
          </w:p>
          <w:p w14:paraId="29652FE3" w14:textId="0E69BC0C" w:rsidR="00CE0BF6" w:rsidRPr="00CE0BF6" w:rsidRDefault="00B70A7D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Україна, 03190, місто Київ, вул. Толбухіна</w:t>
            </w:r>
          </w:p>
          <w:p w14:paraId="29EAE744" w14:textId="09AF6FB4" w:rsidR="00CE0BF6" w:rsidRPr="00CE0BF6" w:rsidRDefault="00CE0BF6" w:rsidP="00CE0BF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4 173 000 грн</w:t>
            </w:r>
          </w:p>
          <w:p w14:paraId="6643096C" w14:textId="028D8929" w:rsidR="00E94376" w:rsidRPr="00227C8E" w:rsidRDefault="00CE0BF6" w:rsidP="00227C8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BF6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</w:t>
            </w:r>
            <w:r w:rsidR="00B70A7D">
              <w:rPr>
                <w:rFonts w:ascii="Times New Roman" w:eastAsia="Times New Roman" w:hAnsi="Times New Roman" w:cs="Times New Roman"/>
                <w:b/>
                <w:bCs/>
                <w:i/>
              </w:rPr>
              <w:t> 13.</w:t>
            </w:r>
          </w:p>
        </w:tc>
      </w:tr>
      <w:tr w:rsidR="00706C98" w:rsidRPr="00037B84" w14:paraId="3A4FC947" w14:textId="77777777" w:rsidTr="00062908">
        <w:trPr>
          <w:cantSplit/>
          <w:trHeight w:val="974"/>
        </w:trPr>
        <w:tc>
          <w:tcPr>
            <w:tcW w:w="2694" w:type="dxa"/>
          </w:tcPr>
          <w:p w14:paraId="5FB65107" w14:textId="77777777" w:rsidR="00706C98" w:rsidRDefault="00706C98" w:rsidP="00706C98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BF21FFB" w14:textId="704F5D45" w:rsidR="00706C98" w:rsidRPr="00CE47AC" w:rsidRDefault="00706C98" w:rsidP="00706C98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Pr="00037B84">
              <w:rPr>
                <w:b w:val="0"/>
              </w:rPr>
              <w:t>*</w:t>
            </w:r>
          </w:p>
        </w:tc>
        <w:tc>
          <w:tcPr>
            <w:tcW w:w="7229" w:type="dxa"/>
          </w:tcPr>
          <w:p w14:paraId="0BD37763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КАЦ ОЛЕКСАНДР НАУМОВИЧ</w:t>
            </w: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01001, місто 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иїв, вул. Володимирська, </w:t>
            </w:r>
          </w:p>
          <w:p w14:paraId="4A97D29A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Тип бенефіціарного володіння: Не прямий вирішальний вплив</w:t>
            </w:r>
          </w:p>
          <w:p w14:paraId="3D773C48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24</w:t>
            </w:r>
          </w:p>
          <w:p w14:paraId="225063EF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КАЦ ОЛЕКСАНДР НАУМОВИЧ</w:t>
            </w: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01001, місто Київ, вул.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Володимирська</w:t>
            </w:r>
          </w:p>
          <w:p w14:paraId="01169022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Тип бенефіціарного володіння: Прямий вирішальний вплив</w:t>
            </w:r>
          </w:p>
          <w:p w14:paraId="59A426B1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26</w:t>
            </w:r>
          </w:p>
          <w:p w14:paraId="096D32F1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ЧЕРНЯВСЬКИЙ ІГОР ЄВГЕНОВИЧ</w:t>
            </w: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190, місто Київ, вул. Толбухіна</w:t>
            </w:r>
          </w:p>
          <w:p w14:paraId="3D47EFF0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Тип бенефіціарного володіння: Прямий вирішальний вплив</w:t>
            </w:r>
          </w:p>
          <w:p w14:paraId="0BCCA05C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13</w:t>
            </w:r>
          </w:p>
          <w:p w14:paraId="4430988D" w14:textId="77777777" w:rsidR="00706C98" w:rsidRPr="00227C8E" w:rsidRDefault="00706C98" w:rsidP="00706C9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ЧЕРНЯВСЬКИЙ ІГОР ЄВГЕНОВИЧ</w:t>
            </w: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190, місто Київ, вул. Толбухіна</w:t>
            </w:r>
          </w:p>
          <w:p w14:paraId="62C1A7D0" w14:textId="77777777" w:rsidR="00706C98" w:rsidRPr="00CE0BF6" w:rsidRDefault="00706C98" w:rsidP="00CE0BF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E94376" w:rsidRPr="00037B84" w14:paraId="24430AF2" w14:textId="77777777" w:rsidTr="00062908">
        <w:trPr>
          <w:cantSplit/>
          <w:trHeight w:val="704"/>
        </w:trPr>
        <w:tc>
          <w:tcPr>
            <w:tcW w:w="2694" w:type="dxa"/>
          </w:tcPr>
          <w:p w14:paraId="36FBF243" w14:textId="2F3AAB50" w:rsidR="00706C98" w:rsidRPr="000B1E6A" w:rsidRDefault="00776E89" w:rsidP="00706C98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</w:p>
          <w:p w14:paraId="087F7364" w14:textId="706CF430" w:rsidR="00E94376" w:rsidRPr="000B1E6A" w:rsidRDefault="00E94376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14:paraId="3FA65031" w14:textId="273B5C32" w:rsidR="00227C8E" w:rsidRPr="00227C8E" w:rsidRDefault="00227C8E" w:rsidP="00227C8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 Тип бенефіціарного володіння: Не прямий вирішальний вплив</w:t>
            </w:r>
          </w:p>
          <w:p w14:paraId="1C7A8B69" w14:textId="5C8401BC" w:rsidR="00E94376" w:rsidRPr="00227C8E" w:rsidRDefault="00227C8E" w:rsidP="00227C8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7C8E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12</w:t>
            </w:r>
          </w:p>
        </w:tc>
      </w:tr>
      <w:tr w:rsidR="00E94376" w:rsidRPr="00037B84" w14:paraId="55A3895A" w14:textId="77777777" w:rsidTr="00062908">
        <w:trPr>
          <w:cantSplit/>
          <w:trHeight w:val="381"/>
        </w:trPr>
        <w:tc>
          <w:tcPr>
            <w:tcW w:w="2694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27C8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7229" w:type="dxa"/>
          </w:tcPr>
          <w:p w14:paraId="3026A563" w14:textId="3510391B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13.10.2022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607680596</w:t>
            </w:r>
            <w:r w:rsidR="00706C98">
              <w:rPr>
                <w:b/>
                <w:i/>
                <w:sz w:val="24"/>
                <w:szCs w:val="24"/>
              </w:rPr>
              <w:t>, лист від 10.01.2023 № 01/10-2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017C4029" w14:textId="5A2A9390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</w:t>
      </w:r>
      <w:r w:rsidR="004948BE">
        <w:rPr>
          <w:sz w:val="24"/>
          <w:szCs w:val="24"/>
        </w:rPr>
        <w:t>і</w:t>
      </w:r>
      <w:r w:rsidRPr="00037B84">
        <w:rPr>
          <w:sz w:val="24"/>
          <w:szCs w:val="24"/>
        </w:rPr>
        <w:t xml:space="preserve"> ділянк</w:t>
      </w:r>
      <w:r w:rsidR="004948BE">
        <w:rPr>
          <w:sz w:val="24"/>
          <w:szCs w:val="24"/>
        </w:rPr>
        <w:t>и</w:t>
      </w:r>
      <w:r w:rsidRPr="00037B84">
        <w:rPr>
          <w:sz w:val="24"/>
          <w:szCs w:val="24"/>
        </w:rPr>
        <w:t xml:space="preserve"> (</w:t>
      </w:r>
      <w:r w:rsidR="00056A2A">
        <w:rPr>
          <w:sz w:val="24"/>
          <w:szCs w:val="24"/>
        </w:rPr>
        <w:t>кадастров</w:t>
      </w:r>
      <w:r w:rsidR="004948BE">
        <w:rPr>
          <w:sz w:val="24"/>
          <w:szCs w:val="24"/>
        </w:rPr>
        <w:t>і</w:t>
      </w:r>
      <w:r w:rsidR="00056A2A">
        <w:rPr>
          <w:sz w:val="24"/>
          <w:szCs w:val="24"/>
        </w:rPr>
        <w:t xml:space="preserve"> </w:t>
      </w:r>
      <w:r w:rsidRPr="00037B84">
        <w:rPr>
          <w:sz w:val="24"/>
          <w:szCs w:val="24"/>
        </w:rPr>
        <w:t>№</w:t>
      </w:r>
      <w:r w:rsidR="004948BE">
        <w:rPr>
          <w:sz w:val="24"/>
          <w:szCs w:val="24"/>
        </w:rPr>
        <w:t>№</w:t>
      </w:r>
      <w:r w:rsidRPr="00037B84">
        <w:rPr>
          <w:sz w:val="24"/>
          <w:szCs w:val="24"/>
        </w:rPr>
        <w:t xml:space="preserve"> </w:t>
      </w:r>
      <w:r w:rsidR="00C55118" w:rsidRPr="00E14097">
        <w:rPr>
          <w:sz w:val="24"/>
          <w:szCs w:val="24"/>
        </w:rPr>
        <w:t>8000000000:72:089:0038; 8000000000:72:089:0039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945"/>
      </w:tblGrid>
      <w:tr w:rsidR="008A338E" w:rsidRPr="00037B84" w14:paraId="321C3785" w14:textId="77777777" w:rsidTr="00972B37">
        <w:trPr>
          <w:trHeight w:val="389"/>
        </w:trPr>
        <w:tc>
          <w:tcPr>
            <w:tcW w:w="2836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945" w:type="dxa"/>
            <w:shd w:val="clear" w:color="auto" w:fill="FFFFFF"/>
          </w:tcPr>
          <w:p w14:paraId="64EB4E00" w14:textId="626A5AF5" w:rsidR="008A338E" w:rsidRPr="006200AE" w:rsidRDefault="00FF0A55" w:rsidP="004948BE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Преображенська, 1-а у Солом'янському районі; </w:t>
            </w:r>
          </w:p>
        </w:tc>
      </w:tr>
      <w:tr w:rsidR="008A338E" w:rsidRPr="00037B84" w14:paraId="333A0AB7" w14:textId="77777777" w:rsidTr="00972B37">
        <w:trPr>
          <w:trHeight w:val="317"/>
        </w:trPr>
        <w:tc>
          <w:tcPr>
            <w:tcW w:w="2836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CE47AC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945" w:type="dxa"/>
            <w:shd w:val="clear" w:color="auto" w:fill="FFFFFF"/>
          </w:tcPr>
          <w:p w14:paraId="08E0CD8B" w14:textId="5983943A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0,0120</w:t>
            </w:r>
            <w:r w:rsidR="004948BE">
              <w:rPr>
                <w:b/>
                <w:i/>
                <w:iCs/>
                <w:sz w:val="24"/>
                <w:szCs w:val="24"/>
              </w:rPr>
              <w:t> га</w:t>
            </w:r>
            <w:r w:rsidRPr="00E14097">
              <w:rPr>
                <w:b/>
                <w:i/>
                <w:iCs/>
                <w:sz w:val="24"/>
                <w:szCs w:val="24"/>
              </w:rPr>
              <w:t>; 0,0103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972B37">
        <w:trPr>
          <w:trHeight w:val="299"/>
        </w:trPr>
        <w:tc>
          <w:tcPr>
            <w:tcW w:w="2836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945" w:type="dxa"/>
            <w:shd w:val="clear" w:color="auto" w:fill="FFFFFF"/>
          </w:tcPr>
          <w:p w14:paraId="779FEB29" w14:textId="3C536C0B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4948BE">
              <w:rPr>
                <w:b/>
                <w:i/>
                <w:sz w:val="24"/>
                <w:szCs w:val="24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972B37">
        <w:trPr>
          <w:trHeight w:val="531"/>
        </w:trPr>
        <w:tc>
          <w:tcPr>
            <w:tcW w:w="2836" w:type="dxa"/>
            <w:shd w:val="clear" w:color="auto" w:fill="FFFFFF"/>
          </w:tcPr>
          <w:p w14:paraId="1AF37BE7" w14:textId="2BA54881" w:rsidR="006764C8" w:rsidRPr="00056A2A" w:rsidRDefault="00B57A1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6D13D3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945" w:type="dxa"/>
            <w:shd w:val="clear" w:color="auto" w:fill="FFFFFF"/>
          </w:tcPr>
          <w:p w14:paraId="09E50292" w14:textId="4BD19A9A" w:rsidR="006764C8" w:rsidRPr="00B57A1F" w:rsidRDefault="00B57A1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B57A1F">
              <w:rPr>
                <w:b/>
                <w:i/>
                <w:sz w:val="24"/>
                <w:szCs w:val="24"/>
              </w:rPr>
              <w:t>12.</w:t>
            </w:r>
            <w:r>
              <w:rPr>
                <w:b/>
                <w:i/>
                <w:sz w:val="24"/>
                <w:szCs w:val="24"/>
              </w:rPr>
              <w:t xml:space="preserve">04. </w:t>
            </w:r>
            <w:r w:rsidRPr="00B57A1F">
              <w:rPr>
                <w:b/>
                <w:i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 (</w:t>
            </w:r>
            <w:r w:rsidR="00C55118" w:rsidRPr="00B57A1F">
              <w:rPr>
                <w:b/>
                <w:i/>
                <w:sz w:val="24"/>
                <w:szCs w:val="24"/>
              </w:rPr>
              <w:t>для влаштування заїзду на територію та виїзду з території існуючої АЗС з подальшими експлуатацією та обслуговуванням</w:t>
            </w:r>
            <w:r w:rsidRPr="00B57A1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972B37">
        <w:trPr>
          <w:trHeight w:val="671"/>
        </w:trPr>
        <w:tc>
          <w:tcPr>
            <w:tcW w:w="2836" w:type="dxa"/>
            <w:shd w:val="clear" w:color="auto" w:fill="FFFFFF"/>
          </w:tcPr>
          <w:p w14:paraId="758CF868" w14:textId="77777777" w:rsidR="00776E89" w:rsidRPr="00B57A1F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B57A1F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B57A1F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0086D5E1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B57A1F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  <w:r w:rsidR="004440FF">
              <w:rPr>
                <w:iCs w:val="0"/>
                <w:sz w:val="24"/>
                <w:szCs w:val="24"/>
              </w:rPr>
              <w:t>земельн</w:t>
            </w:r>
            <w:r w:rsidR="00FA610B">
              <w:rPr>
                <w:iCs w:val="0"/>
                <w:sz w:val="24"/>
                <w:szCs w:val="24"/>
              </w:rPr>
              <w:t>их</w:t>
            </w:r>
            <w:r w:rsidR="004440FF">
              <w:rPr>
                <w:iCs w:val="0"/>
                <w:sz w:val="24"/>
                <w:szCs w:val="24"/>
              </w:rPr>
              <w:t xml:space="preserve"> ділян</w:t>
            </w:r>
            <w:r w:rsidR="00FA610B">
              <w:rPr>
                <w:iCs w:val="0"/>
                <w:sz w:val="24"/>
                <w:szCs w:val="24"/>
              </w:rPr>
              <w:t>ок</w:t>
            </w:r>
            <w:r w:rsidR="004440FF">
              <w:rPr>
                <w:iCs w:val="0"/>
                <w:sz w:val="24"/>
                <w:szCs w:val="24"/>
              </w:rPr>
              <w:t xml:space="preserve"> з кадастровим номером: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B57A1F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945" w:type="dxa"/>
            <w:shd w:val="clear" w:color="auto" w:fill="FFFFFF"/>
          </w:tcPr>
          <w:p w14:paraId="57B6ACC2" w14:textId="5F7A9CAB" w:rsidR="006D7E33" w:rsidRPr="004440FF" w:rsidRDefault="004440FF" w:rsidP="00F90828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4440FF">
              <w:rPr>
                <w:b/>
                <w:i/>
                <w:sz w:val="24"/>
                <w:szCs w:val="24"/>
              </w:rPr>
              <w:t xml:space="preserve">8000000000:72:089:0038 - </w:t>
            </w:r>
            <w:r>
              <w:rPr>
                <w:b/>
                <w:i/>
                <w:sz w:val="24"/>
                <w:szCs w:val="24"/>
              </w:rPr>
              <w:t xml:space="preserve">154 125 грн </w:t>
            </w:r>
            <w:r w:rsidRPr="004440FF">
              <w:rPr>
                <w:b/>
                <w:i/>
                <w:sz w:val="24"/>
                <w:szCs w:val="24"/>
              </w:rPr>
              <w:t>40</w:t>
            </w:r>
            <w:r>
              <w:rPr>
                <w:b/>
                <w:i/>
                <w:sz w:val="24"/>
                <w:szCs w:val="24"/>
              </w:rPr>
              <w:t xml:space="preserve"> коп</w:t>
            </w:r>
            <w:r w:rsidRPr="004440FF">
              <w:rPr>
                <w:b/>
                <w:i/>
                <w:sz w:val="24"/>
                <w:szCs w:val="24"/>
              </w:rPr>
              <w:t>;</w:t>
            </w:r>
          </w:p>
          <w:p w14:paraId="0DCAEE6E" w14:textId="488C0D5B" w:rsidR="004440FF" w:rsidRPr="004440FF" w:rsidRDefault="004440FF" w:rsidP="00F90828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4440FF">
              <w:rPr>
                <w:b/>
                <w:i/>
                <w:sz w:val="24"/>
                <w:szCs w:val="24"/>
              </w:rPr>
              <w:t xml:space="preserve">8000000000:72:089:0039 - </w:t>
            </w:r>
            <w:r>
              <w:rPr>
                <w:b/>
                <w:i/>
                <w:sz w:val="24"/>
                <w:szCs w:val="24"/>
              </w:rPr>
              <w:t xml:space="preserve">120 074 грн </w:t>
            </w:r>
            <w:r w:rsidRPr="004440F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06C98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706C98" w:rsidRDefault="00FC32B6" w:rsidP="00E77A9B">
      <w:pPr>
        <w:pStyle w:val="a7"/>
        <w:shd w:val="clear" w:color="auto" w:fill="auto"/>
        <w:ind w:right="283" w:firstLine="440"/>
        <w:rPr>
          <w:sz w:val="16"/>
          <w:szCs w:val="16"/>
        </w:rPr>
      </w:pPr>
    </w:p>
    <w:p w14:paraId="270AC128" w14:textId="7D3FB90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</w:t>
      </w:r>
      <w:r w:rsidR="009C3BBB">
        <w:rPr>
          <w:sz w:val="24"/>
          <w:szCs w:val="24"/>
        </w:rPr>
        <w:t>ок</w:t>
      </w:r>
      <w:r w:rsidR="00FC32B6">
        <w:rPr>
          <w:sz w:val="24"/>
          <w:szCs w:val="24"/>
        </w:rPr>
        <w:t>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23CCF" w:rsidRPr="00037B84" w14:paraId="3425DFB0" w14:textId="77777777" w:rsidTr="008D148F">
        <w:trPr>
          <w:cantSplit/>
          <w:trHeight w:val="2106"/>
        </w:trPr>
        <w:tc>
          <w:tcPr>
            <w:tcW w:w="2689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6CC22731" w:rsidR="00823CCF" w:rsidRPr="00037B84" w:rsidRDefault="00776E89" w:rsidP="009C3BBB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</w:t>
            </w:r>
            <w:r w:rsidR="009C3BBB">
              <w:rPr>
                <w:b w:val="0"/>
                <w:i/>
                <w:sz w:val="24"/>
                <w:szCs w:val="24"/>
              </w:rPr>
              <w:t>ках</w:t>
            </w:r>
            <w:r w:rsidR="00823CCF" w:rsidRPr="00037B84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2E3AF910" w14:textId="2A8EEC83" w:rsidR="00FF0A55" w:rsidRDefault="00184E7D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67AA2">
              <w:rPr>
                <w:b w:val="0"/>
                <w:i/>
                <w:sz w:val="24"/>
                <w:szCs w:val="24"/>
              </w:rPr>
              <w:t>Вільн</w:t>
            </w:r>
            <w:r w:rsidR="009C3BBB" w:rsidRPr="00467AA2">
              <w:rPr>
                <w:b w:val="0"/>
                <w:i/>
                <w:sz w:val="24"/>
                <w:szCs w:val="24"/>
              </w:rPr>
              <w:t>і</w:t>
            </w:r>
            <w:r w:rsidRPr="00467AA2">
              <w:rPr>
                <w:b w:val="0"/>
                <w:i/>
                <w:sz w:val="24"/>
                <w:szCs w:val="24"/>
              </w:rPr>
              <w:t xml:space="preserve"> від </w:t>
            </w:r>
            <w:r w:rsidR="0029210B" w:rsidRPr="00467AA2">
              <w:rPr>
                <w:b w:val="0"/>
                <w:i/>
                <w:sz w:val="24"/>
                <w:szCs w:val="24"/>
              </w:rPr>
              <w:t xml:space="preserve">капітальної </w:t>
            </w:r>
            <w:r w:rsidRPr="00467AA2">
              <w:rPr>
                <w:b w:val="0"/>
                <w:i/>
                <w:sz w:val="24"/>
                <w:szCs w:val="24"/>
              </w:rPr>
              <w:t>забудови.</w:t>
            </w:r>
            <w:r w:rsidR="00C7249D" w:rsidRPr="00467AA2">
              <w:rPr>
                <w:b w:val="0"/>
                <w:i/>
                <w:sz w:val="24"/>
                <w:szCs w:val="24"/>
              </w:rPr>
              <w:t xml:space="preserve"> Земельні ділянки використовуються як під’їзні шляхи до автозаправного комплексу «КЛО»</w:t>
            </w:r>
            <w:r w:rsidR="002D4EF1">
              <w:rPr>
                <w:b w:val="0"/>
                <w:i/>
                <w:sz w:val="24"/>
                <w:szCs w:val="24"/>
              </w:rPr>
              <w:t>.</w:t>
            </w:r>
            <w:r w:rsidR="00C7249D" w:rsidRPr="00467AA2">
              <w:rPr>
                <w:b w:val="0"/>
                <w:i/>
                <w:sz w:val="24"/>
                <w:szCs w:val="24"/>
              </w:rPr>
              <w:t xml:space="preserve"> Земельна ділянка з кадастровим номером 8000000000:72:089:0039 частково огороджена бетонним парканом. </w:t>
            </w:r>
            <w:r w:rsidR="00FF0A55" w:rsidRPr="002D4EF1">
              <w:rPr>
                <w:b w:val="0"/>
                <w:i/>
                <w:sz w:val="24"/>
                <w:szCs w:val="24"/>
              </w:rPr>
              <w:t>(акт обстеження від</w:t>
            </w:r>
            <w:r w:rsidR="00C7249D" w:rsidRPr="002D4EF1">
              <w:rPr>
                <w:b w:val="0"/>
                <w:i/>
                <w:sz w:val="24"/>
                <w:szCs w:val="24"/>
              </w:rPr>
              <w:t xml:space="preserve"> 24.10.2022 </w:t>
            </w:r>
            <w:r w:rsidR="00FF0A55" w:rsidRPr="002D4EF1">
              <w:rPr>
                <w:b w:val="0"/>
                <w:i/>
                <w:sz w:val="24"/>
                <w:szCs w:val="24"/>
              </w:rPr>
              <w:t xml:space="preserve">№ </w:t>
            </w:r>
            <w:r w:rsidR="00C7249D" w:rsidRPr="002D4EF1">
              <w:rPr>
                <w:b w:val="0"/>
                <w:i/>
                <w:sz w:val="24"/>
                <w:szCs w:val="24"/>
              </w:rPr>
              <w:t>А-22-0045/09</w:t>
            </w:r>
            <w:r w:rsidR="00FF0A55" w:rsidRPr="002D4EF1">
              <w:rPr>
                <w:b w:val="0"/>
                <w:i/>
                <w:sz w:val="24"/>
                <w:szCs w:val="24"/>
              </w:rPr>
              <w:t>).</w:t>
            </w:r>
          </w:p>
          <w:p w14:paraId="481414A9" w14:textId="4AD605A0" w:rsidR="00986BEE" w:rsidRPr="002D4EF1" w:rsidRDefault="00986BE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C930B6">
              <w:rPr>
                <w:b w:val="0"/>
                <w:i/>
                <w:sz w:val="24"/>
                <w:szCs w:val="24"/>
              </w:rPr>
              <w:t>на якій розташована автозаправна станція (</w:t>
            </w:r>
            <w:r w:rsidRPr="00467AA2">
              <w:rPr>
                <w:b w:val="0"/>
                <w:i/>
                <w:sz w:val="24"/>
                <w:szCs w:val="24"/>
              </w:rPr>
              <w:t>кадастрови</w:t>
            </w:r>
            <w:r w:rsidR="00C930B6">
              <w:rPr>
                <w:b w:val="0"/>
                <w:i/>
                <w:sz w:val="24"/>
                <w:szCs w:val="24"/>
              </w:rPr>
              <w:t>й</w:t>
            </w:r>
            <w:r w:rsidRPr="00467AA2">
              <w:rPr>
                <w:b w:val="0"/>
                <w:i/>
                <w:sz w:val="24"/>
                <w:szCs w:val="24"/>
              </w:rPr>
              <w:t xml:space="preserve"> номер 8000000000:72:089:00</w:t>
            </w:r>
            <w:r>
              <w:rPr>
                <w:b w:val="0"/>
                <w:i/>
                <w:sz w:val="24"/>
                <w:szCs w:val="24"/>
              </w:rPr>
              <w:t>12</w:t>
            </w:r>
            <w:r w:rsidR="00C930B6">
              <w:rPr>
                <w:b w:val="0"/>
                <w:i/>
                <w:sz w:val="24"/>
                <w:szCs w:val="24"/>
              </w:rPr>
              <w:t>)</w:t>
            </w:r>
            <w:r>
              <w:rPr>
                <w:b w:val="0"/>
                <w:i/>
                <w:sz w:val="24"/>
                <w:szCs w:val="24"/>
              </w:rPr>
              <w:t xml:space="preserve"> перебуває у власності </w:t>
            </w:r>
            <w:r w:rsidRPr="00986BEE">
              <w:rPr>
                <w:b w:val="0"/>
                <w:i/>
                <w:sz w:val="24"/>
                <w:szCs w:val="24"/>
              </w:rPr>
              <w:t>ТОВ «АВТОБАНСЕРВІС»</w:t>
            </w:r>
            <w:r>
              <w:rPr>
                <w:b w:val="0"/>
                <w:i/>
                <w:sz w:val="24"/>
                <w:szCs w:val="24"/>
              </w:rPr>
              <w:t xml:space="preserve"> з 20.10.2014.</w:t>
            </w:r>
          </w:p>
          <w:p w14:paraId="506E57A9" w14:textId="13C7DFD0" w:rsidR="00823CCF" w:rsidRPr="002D4EF1" w:rsidRDefault="00603291" w:rsidP="0072399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23996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723996">
              <w:rPr>
                <w:b w:val="0"/>
                <w:i/>
                <w:sz w:val="24"/>
                <w:szCs w:val="24"/>
              </w:rPr>
              <w:t xml:space="preserve"> </w:t>
            </w:r>
            <w:r w:rsidR="00986BEE" w:rsidRPr="00986BEE">
              <w:rPr>
                <w:b w:val="0"/>
                <w:i/>
                <w:sz w:val="24"/>
                <w:szCs w:val="24"/>
              </w:rPr>
              <w:t>ТОВ «АВТОБАНСЕРВІС»</w:t>
            </w:r>
            <w:r w:rsidR="00986BEE">
              <w:rPr>
                <w:b w:val="0"/>
                <w:i/>
                <w:sz w:val="24"/>
                <w:szCs w:val="24"/>
              </w:rPr>
              <w:t xml:space="preserve"> </w:t>
            </w:r>
            <w:r w:rsidR="00723996">
              <w:rPr>
                <w:b w:val="0"/>
                <w:i/>
                <w:sz w:val="24"/>
                <w:szCs w:val="24"/>
              </w:rPr>
              <w:t>належить автозаправна станція</w:t>
            </w:r>
            <w:r w:rsidRPr="00723996">
              <w:rPr>
                <w:b w:val="0"/>
                <w:i/>
                <w:sz w:val="24"/>
                <w:szCs w:val="24"/>
              </w:rPr>
              <w:t xml:space="preserve"> загальною площею </w:t>
            </w:r>
            <w:r w:rsidR="00723996" w:rsidRPr="00723996">
              <w:rPr>
                <w:b w:val="0"/>
                <w:i/>
                <w:sz w:val="24"/>
                <w:szCs w:val="24"/>
              </w:rPr>
              <w:t>110,2</w:t>
            </w:r>
            <w:r w:rsidRPr="00723996">
              <w:rPr>
                <w:b w:val="0"/>
                <w:i/>
                <w:sz w:val="24"/>
                <w:szCs w:val="24"/>
              </w:rPr>
              <w:t xml:space="preserve"> кв.м (реєстраційний номер об’єкта нерухомого майна </w:t>
            </w:r>
            <w:r w:rsidR="00723996" w:rsidRPr="00723996">
              <w:rPr>
                <w:b w:val="0"/>
                <w:i/>
                <w:sz w:val="24"/>
                <w:szCs w:val="24"/>
              </w:rPr>
              <w:t>208313280000</w:t>
            </w:r>
            <w:r w:rsidRPr="00723996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723996" w:rsidRPr="00723996">
              <w:rPr>
                <w:b w:val="0"/>
                <w:i/>
                <w:sz w:val="24"/>
                <w:szCs w:val="24"/>
              </w:rPr>
              <w:t>22.10.2013</w:t>
            </w:r>
            <w:r w:rsidRPr="00723996">
              <w:rPr>
                <w:b w:val="0"/>
                <w:i/>
                <w:sz w:val="24"/>
                <w:szCs w:val="24"/>
              </w:rPr>
              <w:t xml:space="preserve"> №</w:t>
            </w:r>
            <w:r w:rsidR="00723996" w:rsidRPr="00723996">
              <w:rPr>
                <w:b w:val="0"/>
                <w:i/>
                <w:sz w:val="24"/>
                <w:szCs w:val="24"/>
              </w:rPr>
              <w:t> 3319351</w:t>
            </w:r>
            <w:r w:rsidRPr="00723996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8D148F">
        <w:trPr>
          <w:cantSplit/>
          <w:trHeight w:val="367"/>
        </w:trPr>
        <w:tc>
          <w:tcPr>
            <w:tcW w:w="2689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5" w:type="dxa"/>
          </w:tcPr>
          <w:p w14:paraId="112E87C4" w14:textId="6BBF1CDF" w:rsidR="00823CCF" w:rsidRPr="0011000D" w:rsidRDefault="0018193A" w:rsidP="00C7249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1000D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8D148F">
        <w:trPr>
          <w:cantSplit/>
          <w:trHeight w:val="569"/>
        </w:trPr>
        <w:tc>
          <w:tcPr>
            <w:tcW w:w="2689" w:type="dxa"/>
          </w:tcPr>
          <w:p w14:paraId="46E43E2E" w14:textId="501DA149" w:rsidR="00823CCF" w:rsidRPr="00037B84" w:rsidRDefault="00823CCF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п</w:t>
            </w:r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49BF4673" w14:textId="57486A89" w:rsidR="00823CCF" w:rsidRPr="0011000D" w:rsidRDefault="00E5752E" w:rsidP="00BA114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1000D">
              <w:rPr>
                <w:b w:val="0"/>
                <w:i/>
                <w:sz w:val="24"/>
                <w:szCs w:val="24"/>
              </w:rPr>
              <w:t>Т</w:t>
            </w:r>
            <w:r w:rsidR="0018193A" w:rsidRPr="0011000D">
              <w:rPr>
                <w:b w:val="0"/>
                <w:i/>
                <w:sz w:val="24"/>
                <w:szCs w:val="24"/>
              </w:rPr>
              <w:t>ериторі</w:t>
            </w:r>
            <w:r w:rsidR="00BA1147" w:rsidRPr="0011000D">
              <w:rPr>
                <w:b w:val="0"/>
                <w:i/>
                <w:sz w:val="24"/>
                <w:szCs w:val="24"/>
              </w:rPr>
              <w:t>ї</w:t>
            </w:r>
            <w:r w:rsidR="0018193A" w:rsidRPr="0011000D">
              <w:rPr>
                <w:b w:val="0"/>
                <w:i/>
                <w:sz w:val="24"/>
                <w:szCs w:val="24"/>
              </w:rPr>
              <w:t xml:space="preserve"> </w:t>
            </w:r>
            <w:r w:rsidR="00C7249D" w:rsidRPr="0011000D">
              <w:rPr>
                <w:b w:val="0"/>
                <w:i/>
                <w:sz w:val="24"/>
                <w:szCs w:val="24"/>
              </w:rPr>
              <w:t>вулиць та доріг.</w:t>
            </w:r>
          </w:p>
        </w:tc>
      </w:tr>
      <w:tr w:rsidR="00823CCF" w:rsidRPr="00037B84" w14:paraId="529B325E" w14:textId="77777777" w:rsidTr="008D148F">
        <w:trPr>
          <w:cantSplit/>
          <w:trHeight w:val="1689"/>
        </w:trPr>
        <w:tc>
          <w:tcPr>
            <w:tcW w:w="2689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5" w:type="dxa"/>
          </w:tcPr>
          <w:p w14:paraId="3F48B545" w14:textId="300D6F06" w:rsidR="00BA1147" w:rsidRPr="005F60EF" w:rsidRDefault="006A19DF" w:rsidP="00BA114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F60EF">
              <w:rPr>
                <w:b w:val="0"/>
                <w:i/>
                <w:sz w:val="24"/>
                <w:szCs w:val="24"/>
              </w:rPr>
              <w:t>Земельн</w:t>
            </w:r>
            <w:r w:rsidR="00BA1147" w:rsidRPr="005F60EF">
              <w:rPr>
                <w:b w:val="0"/>
                <w:i/>
                <w:sz w:val="24"/>
                <w:szCs w:val="24"/>
              </w:rPr>
              <w:t>і</w:t>
            </w:r>
            <w:r w:rsidRPr="005F60EF">
              <w:rPr>
                <w:b w:val="0"/>
                <w:i/>
                <w:sz w:val="24"/>
                <w:szCs w:val="24"/>
              </w:rPr>
              <w:t xml:space="preserve"> ділянк</w:t>
            </w:r>
            <w:r w:rsidR="00BA1147" w:rsidRPr="005F60EF">
              <w:rPr>
                <w:b w:val="0"/>
                <w:i/>
                <w:sz w:val="24"/>
                <w:szCs w:val="24"/>
              </w:rPr>
              <w:t>и</w:t>
            </w:r>
            <w:r w:rsidRPr="005F60EF">
              <w:rPr>
                <w:b w:val="0"/>
                <w:i/>
                <w:sz w:val="24"/>
                <w:szCs w:val="24"/>
              </w:rPr>
              <w:t xml:space="preserve"> </w:t>
            </w:r>
            <w:r w:rsidR="00532056" w:rsidRPr="005F60EF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5F60EF">
              <w:rPr>
                <w:b w:val="0"/>
                <w:i/>
                <w:sz w:val="24"/>
                <w:szCs w:val="24"/>
              </w:rPr>
              <w:t>перебува</w:t>
            </w:r>
            <w:r w:rsidR="00BA1147" w:rsidRPr="005F60EF">
              <w:rPr>
                <w:b w:val="0"/>
                <w:i/>
                <w:sz w:val="24"/>
                <w:szCs w:val="24"/>
              </w:rPr>
              <w:t>ють</w:t>
            </w:r>
            <w:r w:rsidRPr="005F60EF">
              <w:rPr>
                <w:b w:val="0"/>
                <w:i/>
                <w:sz w:val="24"/>
                <w:szCs w:val="24"/>
              </w:rPr>
              <w:t xml:space="preserve"> у комунальній власності територіальної громади міста Києва</w:t>
            </w:r>
            <w:r w:rsidR="00BA1147" w:rsidRPr="005F60EF">
              <w:rPr>
                <w:b w:val="0"/>
                <w:i/>
                <w:sz w:val="24"/>
                <w:szCs w:val="24"/>
              </w:rPr>
              <w:t>.</w:t>
            </w:r>
            <w:r w:rsidRPr="005F60E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EC5BAC8" w14:textId="019A77E9" w:rsidR="00823CCF" w:rsidRPr="00907FF6" w:rsidRDefault="006A19DF" w:rsidP="00706C9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F60EF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5F60EF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5F60EF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9724D4" w:rsidRPr="009724D4">
              <w:rPr>
                <w:b w:val="0"/>
                <w:i/>
                <w:color w:val="auto"/>
                <w:sz w:val="24"/>
                <w:szCs w:val="24"/>
                <w:lang w:val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5F60EF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;</w:t>
            </w:r>
            <w:r w:rsidR="00706C98">
              <w:rPr>
                <w:b w:val="0"/>
                <w:i/>
                <w:color w:val="auto"/>
                <w:sz w:val="24"/>
                <w:szCs w:val="24"/>
                <w:lang w:val="ru-RU" w:bidi="ar-SA"/>
              </w:rPr>
              <w:t xml:space="preserve"> </w:t>
            </w:r>
            <w:r w:rsidR="00564A02" w:rsidRPr="005F60EF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5F60EF">
              <w:rPr>
                <w:b w:val="0"/>
                <w:i/>
                <w:sz w:val="24"/>
                <w:szCs w:val="24"/>
              </w:rPr>
              <w:t>-</w:t>
            </w:r>
            <w:r w:rsidRPr="005F60EF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5F60EF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12.04</w:t>
            </w:r>
            <w:r w:rsidRPr="005F60EF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920C46" w:rsidRPr="00037B84" w14:paraId="03F8D26F" w14:textId="77777777" w:rsidTr="008D148F">
        <w:trPr>
          <w:cantSplit/>
          <w:trHeight w:val="1413"/>
        </w:trPr>
        <w:tc>
          <w:tcPr>
            <w:tcW w:w="2689" w:type="dxa"/>
          </w:tcPr>
          <w:p w14:paraId="381C544B" w14:textId="77777777" w:rsidR="00920C46" w:rsidRPr="00BA1147" w:rsidRDefault="00920C46" w:rsidP="00920C46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BA114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6E82454" w14:textId="5E422A20" w:rsidR="00920C46" w:rsidRPr="00037B84" w:rsidRDefault="00920C46" w:rsidP="00920C46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BA114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5" w:type="dxa"/>
          </w:tcPr>
          <w:p w14:paraId="32C67EBC" w14:textId="16ED2746" w:rsidR="00920C46" w:rsidRPr="00907FF6" w:rsidRDefault="00920C46" w:rsidP="00920C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 віднося</w:t>
            </w: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FC7A92" w:rsidRPr="00037B84" w14:paraId="4912F663" w14:textId="77777777" w:rsidTr="008D148F">
        <w:trPr>
          <w:cantSplit/>
          <w:trHeight w:val="2827"/>
        </w:trPr>
        <w:tc>
          <w:tcPr>
            <w:tcW w:w="2689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473D3454" w14:textId="31446F1E" w:rsidR="006A19DF" w:rsidRPr="004D5818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ділянк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и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відповідно до рішення Київської міської ради від</w:t>
            </w:r>
            <w:r w:rsidR="00C930B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18.05.2017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330/2552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надан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 оренду </w:t>
            </w:r>
            <w:r w:rsidR="004D5818" w:rsidRPr="004D581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 </w:t>
            </w:r>
            <w:r w:rsidRPr="004D581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«АВТОБАНСЕРВІС»</w:t>
            </w:r>
            <w:r w:rsidRPr="004D5818">
              <w:rPr>
                <w:rFonts w:ascii="Times New Roman" w:hAnsi="Times New Roman" w:cs="Times New Roman"/>
                <w:i/>
              </w:rPr>
              <w:t xml:space="preserve"> </w:t>
            </w:r>
            <w:r w:rsidR="00FF0A55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влаштування заїзду на територію та виїзду з території існуючої АЗС з подальшими експлуатацією та обслуговуванням 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(договір </w:t>
            </w:r>
            <w:r w:rsidR="00B34589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оренди від</w:t>
            </w:r>
            <w:r w:rsidR="00267FC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="00B34589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20.11.2017 № 1214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</w:t>
            </w:r>
            <w:r w:rsidR="00FF0A55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6F39B81" w14:textId="1CF99A67" w:rsidR="006A19DF" w:rsidRPr="004D5818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20.11.2022</w:t>
            </w:r>
            <w:r w:rsidR="00C91423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DAC745A" w14:textId="77777777" w:rsidR="008E0B83" w:rsidRDefault="008E0B83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AA1729C" w14:textId="74C11F2D" w:rsidR="006A19DF" w:rsidRPr="004D5818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</w:t>
            </w:r>
            <w:r w:rsidR="008E0B8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Центрального МУ 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ДПС </w:t>
            </w:r>
            <w:r w:rsidR="008E0B8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по роботі з ВПП                         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 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04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1.202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13/АП/31-00-13-02-09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04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1.202</w:t>
            </w:r>
            <w:r w:rsidR="00706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</w:t>
            </w:r>
            <w:r w:rsidR="004D5818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 </w:t>
            </w:r>
            <w:r w:rsidR="00CA0F2F"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ТОВ «АВТОБАНСЕРВІС»</w:t>
            </w:r>
            <w:r w:rsidRPr="004D581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44AB22ED" w14:textId="77777777" w:rsidR="00706C98" w:rsidRDefault="00706C98" w:rsidP="00706C9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4A7DC3B1" w14:textId="415067CE" w:rsidR="00706C98" w:rsidRPr="00706C98" w:rsidRDefault="00F620DD" w:rsidP="00706C9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4548D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</w:t>
            </w:r>
            <w:r w:rsidR="00706C98" w:rsidRPr="00706C98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ЗУ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55C927C7" w14:textId="77777777" w:rsidR="00706C98" w:rsidRPr="00706C98" w:rsidRDefault="00706C98" w:rsidP="00706C9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57CF5517" w14:textId="77777777" w:rsidR="00DE0E7B" w:rsidRDefault="00706C98" w:rsidP="00706C9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06C98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D2F2CED" w14:textId="77777777" w:rsidR="00706C98" w:rsidRDefault="00706C98" w:rsidP="00706C9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381CEF3E" w14:textId="69183403" w:rsidR="00706C98" w:rsidRPr="0014548D" w:rsidRDefault="00706C98" w:rsidP="00706C98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6C98">
              <w:rPr>
                <w:rFonts w:ascii="Times New Roman" w:eastAsia="Times New Roman" w:hAnsi="Times New Roman" w:cs="Times New Roman"/>
                <w:bCs/>
                <w:i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0B18273B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8A5CA24" w14:textId="610B58B9" w:rsidR="008E0B83" w:rsidRDefault="008E0B83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0B57959D" w14:textId="77777777" w:rsidR="008E0B83" w:rsidRPr="00037B84" w:rsidRDefault="008E0B83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ABE0F8D" w14:textId="07429007" w:rsidR="00A54F6C" w:rsidRDefault="006A19DF" w:rsidP="004E43C6">
      <w:pPr>
        <w:pStyle w:val="a4"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Податкового к</w:t>
      </w:r>
      <w:r w:rsidRPr="00037B84">
        <w:rPr>
          <w:sz w:val="24"/>
          <w:szCs w:val="24"/>
        </w:rPr>
        <w:t>о</w:t>
      </w:r>
      <w:r>
        <w:rPr>
          <w:sz w:val="24"/>
          <w:szCs w:val="24"/>
        </w:rPr>
        <w:t xml:space="preserve">дексу України </w:t>
      </w:r>
      <w:r w:rsidRPr="00037B84">
        <w:rPr>
          <w:sz w:val="24"/>
          <w:szCs w:val="24"/>
        </w:rPr>
        <w:t xml:space="preserve">та </w:t>
      </w:r>
      <w:r w:rsidRPr="00714CB9">
        <w:rPr>
          <w:sz w:val="24"/>
          <w:szCs w:val="24"/>
        </w:rPr>
        <w:t xml:space="preserve">рішення </w:t>
      </w:r>
      <w:r>
        <w:rPr>
          <w:sz w:val="24"/>
          <w:szCs w:val="24"/>
        </w:rPr>
        <w:t>Київської міської ради</w:t>
      </w:r>
      <w:r w:rsidR="00B312AA">
        <w:rPr>
          <w:sz w:val="24"/>
          <w:szCs w:val="24"/>
        </w:rPr>
        <w:t xml:space="preserve">                             </w:t>
      </w:r>
      <w:r w:rsidRPr="00714CB9">
        <w:rPr>
          <w:sz w:val="24"/>
          <w:szCs w:val="24"/>
        </w:rPr>
        <w:t xml:space="preserve"> </w:t>
      </w:r>
      <w:r w:rsidR="002F2D3F" w:rsidRPr="002F2D3F">
        <w:rPr>
          <w:sz w:val="24"/>
          <w:szCs w:val="24"/>
        </w:rPr>
        <w:t xml:space="preserve">від </w:t>
      </w:r>
      <w:r w:rsidR="00706C98" w:rsidRPr="00706C98">
        <w:rPr>
          <w:sz w:val="24"/>
          <w:szCs w:val="24"/>
        </w:rPr>
        <w:t>08.12.2022 № 5828/5869 «Про бюджет міста Києва на 2023 рік»</w:t>
      </w:r>
      <w:r w:rsidR="002F2D3F" w:rsidRPr="002F2D3F">
        <w:rPr>
          <w:sz w:val="24"/>
          <w:szCs w:val="24"/>
        </w:rPr>
        <w:t xml:space="preserve"> </w:t>
      </w:r>
      <w:r w:rsidRPr="002F2D3F">
        <w:rPr>
          <w:sz w:val="24"/>
          <w:szCs w:val="24"/>
        </w:rPr>
        <w:t>орієнт</w:t>
      </w:r>
      <w:r w:rsidRPr="00037B84">
        <w:rPr>
          <w:sz w:val="24"/>
          <w:szCs w:val="24"/>
        </w:rPr>
        <w:t xml:space="preserve">овний розмір </w:t>
      </w:r>
      <w:r>
        <w:rPr>
          <w:sz w:val="24"/>
          <w:szCs w:val="24"/>
        </w:rPr>
        <w:t xml:space="preserve">річної </w:t>
      </w:r>
      <w:r w:rsidRPr="00037B84">
        <w:rPr>
          <w:sz w:val="24"/>
          <w:szCs w:val="24"/>
        </w:rPr>
        <w:t xml:space="preserve">орендної плати </w:t>
      </w:r>
      <w:r w:rsidR="006D7717" w:rsidRPr="006D7717">
        <w:rPr>
          <w:sz w:val="24"/>
          <w:szCs w:val="24"/>
        </w:rPr>
        <w:t xml:space="preserve">земельних ділянок </w:t>
      </w:r>
      <w:r w:rsidRPr="00037B84">
        <w:rPr>
          <w:sz w:val="24"/>
          <w:szCs w:val="24"/>
        </w:rPr>
        <w:t>складатиме</w:t>
      </w:r>
      <w:r>
        <w:rPr>
          <w:sz w:val="24"/>
          <w:szCs w:val="24"/>
        </w:rPr>
        <w:t xml:space="preserve">: </w:t>
      </w:r>
    </w:p>
    <w:p w14:paraId="11932428" w14:textId="766FFFBC" w:rsidR="004E43C6" w:rsidRDefault="00A54F6C" w:rsidP="006D7717">
      <w:pPr>
        <w:pStyle w:val="a4"/>
        <w:numPr>
          <w:ilvl w:val="0"/>
          <w:numId w:val="2"/>
        </w:numPr>
        <w:shd w:val="clear" w:color="auto" w:fill="auto"/>
        <w:ind w:left="426" w:hanging="426"/>
        <w:jc w:val="both"/>
        <w:rPr>
          <w:b/>
          <w:i/>
          <w:sz w:val="24"/>
          <w:szCs w:val="24"/>
        </w:rPr>
      </w:pPr>
      <w:r w:rsidRPr="00A54F6C">
        <w:rPr>
          <w:b/>
          <w:i/>
          <w:sz w:val="24"/>
          <w:szCs w:val="24"/>
        </w:rPr>
        <w:t>з кадастровим номером</w:t>
      </w:r>
      <w:r w:rsidR="006A19DF" w:rsidRPr="009C1880">
        <w:rPr>
          <w:b/>
          <w:sz w:val="24"/>
          <w:szCs w:val="24"/>
          <w:shd w:val="clear" w:color="auto" w:fill="FFFFFF"/>
        </w:rPr>
        <w:t xml:space="preserve"> </w:t>
      </w:r>
      <w:r w:rsidR="004E43C6" w:rsidRPr="004440FF">
        <w:rPr>
          <w:b/>
          <w:i/>
          <w:sz w:val="24"/>
          <w:szCs w:val="24"/>
        </w:rPr>
        <w:t>8000000000:72:089:0038 -</w:t>
      </w:r>
      <w:r w:rsidR="006D7717">
        <w:rPr>
          <w:b/>
          <w:i/>
          <w:sz w:val="24"/>
          <w:szCs w:val="24"/>
        </w:rPr>
        <w:t xml:space="preserve"> 18 495</w:t>
      </w:r>
      <w:r w:rsidR="004E43C6" w:rsidRPr="004440FF">
        <w:rPr>
          <w:b/>
          <w:i/>
          <w:sz w:val="24"/>
          <w:szCs w:val="24"/>
        </w:rPr>
        <w:t xml:space="preserve"> </w:t>
      </w:r>
      <w:r w:rsidR="004E43C6">
        <w:rPr>
          <w:b/>
          <w:i/>
          <w:sz w:val="24"/>
          <w:szCs w:val="24"/>
        </w:rPr>
        <w:t xml:space="preserve">грн </w:t>
      </w:r>
      <w:r w:rsidR="006D7717">
        <w:rPr>
          <w:b/>
          <w:i/>
          <w:sz w:val="24"/>
          <w:szCs w:val="24"/>
        </w:rPr>
        <w:t>05</w:t>
      </w:r>
      <w:r w:rsidR="004E43C6">
        <w:rPr>
          <w:b/>
          <w:i/>
          <w:sz w:val="24"/>
          <w:szCs w:val="24"/>
        </w:rPr>
        <w:t xml:space="preserve"> коп</w:t>
      </w:r>
      <w:r w:rsidR="00A8685E">
        <w:rPr>
          <w:b/>
          <w:i/>
          <w:sz w:val="24"/>
          <w:szCs w:val="24"/>
        </w:rPr>
        <w:t xml:space="preserve"> (12%)</w:t>
      </w:r>
      <w:r w:rsidR="004E43C6" w:rsidRPr="004440FF">
        <w:rPr>
          <w:b/>
          <w:i/>
          <w:sz w:val="24"/>
          <w:szCs w:val="24"/>
        </w:rPr>
        <w:t>;</w:t>
      </w:r>
    </w:p>
    <w:p w14:paraId="1906F012" w14:textId="5F72952E" w:rsidR="006A19DF" w:rsidRPr="006D7E33" w:rsidRDefault="00A54F6C" w:rsidP="006210D4">
      <w:pPr>
        <w:pStyle w:val="1"/>
        <w:numPr>
          <w:ilvl w:val="0"/>
          <w:numId w:val="2"/>
        </w:numPr>
        <w:shd w:val="clear" w:color="auto" w:fill="auto"/>
        <w:spacing w:line="230" w:lineRule="auto"/>
        <w:ind w:left="426" w:hanging="426"/>
        <w:jc w:val="both"/>
        <w:rPr>
          <w:i w:val="0"/>
          <w:sz w:val="24"/>
          <w:szCs w:val="24"/>
        </w:rPr>
      </w:pPr>
      <w:r w:rsidRPr="00A54F6C">
        <w:rPr>
          <w:b/>
          <w:iCs w:val="0"/>
          <w:sz w:val="24"/>
          <w:szCs w:val="24"/>
        </w:rPr>
        <w:t xml:space="preserve">з кадастровим номером </w:t>
      </w:r>
      <w:r w:rsidR="004E43C6" w:rsidRPr="00A54F6C">
        <w:rPr>
          <w:b/>
          <w:iCs w:val="0"/>
          <w:sz w:val="24"/>
          <w:szCs w:val="24"/>
        </w:rPr>
        <w:t>8000000000:72:089:0039</w:t>
      </w:r>
      <w:r>
        <w:rPr>
          <w:b/>
          <w:i w:val="0"/>
          <w:sz w:val="24"/>
          <w:szCs w:val="24"/>
        </w:rPr>
        <w:t xml:space="preserve"> </w:t>
      </w:r>
      <w:r w:rsidRPr="00A8685E">
        <w:rPr>
          <w:b/>
          <w:iCs w:val="0"/>
          <w:sz w:val="24"/>
          <w:szCs w:val="24"/>
        </w:rPr>
        <w:t xml:space="preserve">- </w:t>
      </w:r>
      <w:r w:rsidR="00A8685E" w:rsidRPr="00A8685E">
        <w:rPr>
          <w:b/>
          <w:iCs w:val="0"/>
          <w:sz w:val="24"/>
          <w:szCs w:val="24"/>
        </w:rPr>
        <w:t xml:space="preserve">14 408 </w:t>
      </w:r>
      <w:r w:rsidR="006A19DF" w:rsidRPr="00A8685E">
        <w:rPr>
          <w:b/>
          <w:iCs w:val="0"/>
          <w:sz w:val="24"/>
          <w:szCs w:val="24"/>
        </w:rPr>
        <w:t>грн</w:t>
      </w:r>
      <w:r w:rsidR="00A8685E" w:rsidRPr="00A8685E">
        <w:rPr>
          <w:b/>
          <w:iCs w:val="0"/>
          <w:sz w:val="24"/>
          <w:szCs w:val="24"/>
        </w:rPr>
        <w:t xml:space="preserve"> 89 коп</w:t>
      </w:r>
      <w:r w:rsidR="00A8685E">
        <w:rPr>
          <w:b/>
          <w:iCs w:val="0"/>
          <w:sz w:val="24"/>
          <w:szCs w:val="24"/>
        </w:rPr>
        <w:t xml:space="preserve"> </w:t>
      </w:r>
      <w:r w:rsidR="00A8685E" w:rsidRPr="00A8685E">
        <w:rPr>
          <w:b/>
          <w:iCs w:val="0"/>
          <w:sz w:val="24"/>
          <w:szCs w:val="24"/>
        </w:rPr>
        <w:t>(12%).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3F7AB90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</w:t>
      </w:r>
      <w:r w:rsidRPr="006210D4">
        <w:rPr>
          <w:i w:val="0"/>
          <w:sz w:val="24"/>
          <w:szCs w:val="24"/>
        </w:rPr>
        <w:t>ими</w:t>
      </w:r>
      <w:r w:rsidRPr="00037B84">
        <w:rPr>
          <w:i w:val="0"/>
          <w:sz w:val="24"/>
          <w:szCs w:val="24"/>
        </w:rPr>
        <w:t xml:space="preserve"> ділянк</w:t>
      </w:r>
      <w:r w:rsidRPr="006210D4">
        <w:rPr>
          <w:i w:val="0"/>
          <w:sz w:val="24"/>
          <w:szCs w:val="24"/>
        </w:rPr>
        <w:t>ами.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CE47AC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706C98">
      <w:headerReference w:type="default" r:id="rId12"/>
      <w:footerReference w:type="default" r:id="rId13"/>
      <w:pgSz w:w="11907" w:h="16839" w:code="9"/>
      <w:pgMar w:top="567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955863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4FCEBC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CE47AC">
          <w:rPr>
            <w:i w:val="0"/>
            <w:sz w:val="12"/>
            <w:szCs w:val="12"/>
            <w:lang w:val="ru-RU"/>
          </w:rPr>
          <w:t>-45761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CE47AC">
          <w:rPr>
            <w:i w:val="0"/>
            <w:sz w:val="12"/>
            <w:szCs w:val="12"/>
            <w:lang w:val="ru-RU"/>
          </w:rPr>
          <w:t>1</w:t>
        </w:r>
        <w:r w:rsidR="006E43AD">
          <w:rPr>
            <w:i w:val="0"/>
            <w:sz w:val="12"/>
            <w:szCs w:val="12"/>
            <w:lang w:val="ru-RU"/>
          </w:rPr>
          <w:t>2</w:t>
        </w:r>
        <w:r w:rsidR="009674CE" w:rsidRPr="00CE47AC">
          <w:rPr>
            <w:i w:val="0"/>
            <w:sz w:val="12"/>
            <w:szCs w:val="12"/>
            <w:lang w:val="ru-RU"/>
          </w:rPr>
          <w:t>.</w:t>
        </w:r>
        <w:r w:rsidR="006E43AD">
          <w:rPr>
            <w:i w:val="0"/>
            <w:sz w:val="12"/>
            <w:szCs w:val="12"/>
            <w:lang w:val="ru-RU"/>
          </w:rPr>
          <w:t>01</w:t>
        </w:r>
        <w:r w:rsidR="009674CE" w:rsidRPr="00CE47AC">
          <w:rPr>
            <w:i w:val="0"/>
            <w:sz w:val="12"/>
            <w:szCs w:val="12"/>
            <w:lang w:val="ru-RU"/>
          </w:rPr>
          <w:t>.202</w:t>
        </w:r>
        <w:r w:rsidR="006E43AD">
          <w:rPr>
            <w:i w:val="0"/>
            <w:sz w:val="12"/>
            <w:szCs w:val="12"/>
            <w:lang w:val="ru-RU"/>
          </w:rPr>
          <w:t>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CE47AC">
          <w:rPr>
            <w:i w:val="0"/>
            <w:sz w:val="12"/>
            <w:szCs w:val="12"/>
            <w:lang w:val="ru-RU"/>
          </w:rPr>
          <w:t>607680596</w:t>
        </w:r>
      </w:p>
      <w:p w14:paraId="0BF67CBB" w14:textId="30C8C806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E29F9" w:rsidRPr="000E29F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7C603DAF"/>
    <w:multiLevelType w:val="hybridMultilevel"/>
    <w:tmpl w:val="A468B402"/>
    <w:lvl w:ilvl="0" w:tplc="D9285DFA">
      <w:start w:val="15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22639"/>
    <w:rsid w:val="00034D1E"/>
    <w:rsid w:val="00037B84"/>
    <w:rsid w:val="00045F3B"/>
    <w:rsid w:val="00047DE7"/>
    <w:rsid w:val="000502C7"/>
    <w:rsid w:val="00056A2A"/>
    <w:rsid w:val="00062908"/>
    <w:rsid w:val="0007432D"/>
    <w:rsid w:val="00082FF3"/>
    <w:rsid w:val="0009576B"/>
    <w:rsid w:val="00097181"/>
    <w:rsid w:val="000A3CAE"/>
    <w:rsid w:val="000A463F"/>
    <w:rsid w:val="000A68A3"/>
    <w:rsid w:val="000B0281"/>
    <w:rsid w:val="000B1E6A"/>
    <w:rsid w:val="000B45AA"/>
    <w:rsid w:val="000C7B1F"/>
    <w:rsid w:val="000E29F9"/>
    <w:rsid w:val="000E3D00"/>
    <w:rsid w:val="00101DAD"/>
    <w:rsid w:val="0011000D"/>
    <w:rsid w:val="001121A7"/>
    <w:rsid w:val="00117719"/>
    <w:rsid w:val="001239A5"/>
    <w:rsid w:val="00123E08"/>
    <w:rsid w:val="0014548D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C552A"/>
    <w:rsid w:val="001D01E5"/>
    <w:rsid w:val="001D7910"/>
    <w:rsid w:val="001E09C8"/>
    <w:rsid w:val="001E0F83"/>
    <w:rsid w:val="00200DA6"/>
    <w:rsid w:val="00207509"/>
    <w:rsid w:val="00212FAB"/>
    <w:rsid w:val="002140BB"/>
    <w:rsid w:val="00225909"/>
    <w:rsid w:val="00227C8E"/>
    <w:rsid w:val="00235AF8"/>
    <w:rsid w:val="0025220F"/>
    <w:rsid w:val="00267FCA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4EF1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9799C"/>
    <w:rsid w:val="003D2E2D"/>
    <w:rsid w:val="003E0CE3"/>
    <w:rsid w:val="003E1B2C"/>
    <w:rsid w:val="003E769A"/>
    <w:rsid w:val="003F1994"/>
    <w:rsid w:val="003F4C80"/>
    <w:rsid w:val="003F795C"/>
    <w:rsid w:val="0040429C"/>
    <w:rsid w:val="00414B5A"/>
    <w:rsid w:val="00430CA4"/>
    <w:rsid w:val="004360F8"/>
    <w:rsid w:val="004440FF"/>
    <w:rsid w:val="00452111"/>
    <w:rsid w:val="0045563D"/>
    <w:rsid w:val="00467AA2"/>
    <w:rsid w:val="0049406D"/>
    <w:rsid w:val="004948BE"/>
    <w:rsid w:val="00495DE6"/>
    <w:rsid w:val="004A4541"/>
    <w:rsid w:val="004B05D1"/>
    <w:rsid w:val="004C4F16"/>
    <w:rsid w:val="004D4B3C"/>
    <w:rsid w:val="004D51B7"/>
    <w:rsid w:val="004D5818"/>
    <w:rsid w:val="004E43C6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1C85"/>
    <w:rsid w:val="005B2FD0"/>
    <w:rsid w:val="005D67B3"/>
    <w:rsid w:val="005E272A"/>
    <w:rsid w:val="005E7630"/>
    <w:rsid w:val="005F60EF"/>
    <w:rsid w:val="00603291"/>
    <w:rsid w:val="00617D3B"/>
    <w:rsid w:val="006200AE"/>
    <w:rsid w:val="006210D4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6533"/>
    <w:rsid w:val="006A7D7F"/>
    <w:rsid w:val="006C2523"/>
    <w:rsid w:val="006D7717"/>
    <w:rsid w:val="006D791C"/>
    <w:rsid w:val="006D7E33"/>
    <w:rsid w:val="006E16C7"/>
    <w:rsid w:val="006E43AD"/>
    <w:rsid w:val="006E7465"/>
    <w:rsid w:val="006F560A"/>
    <w:rsid w:val="0070323B"/>
    <w:rsid w:val="00706C98"/>
    <w:rsid w:val="00714CB9"/>
    <w:rsid w:val="00721AD9"/>
    <w:rsid w:val="007223E9"/>
    <w:rsid w:val="00723996"/>
    <w:rsid w:val="0073445F"/>
    <w:rsid w:val="00751508"/>
    <w:rsid w:val="00765401"/>
    <w:rsid w:val="007709F8"/>
    <w:rsid w:val="00772C24"/>
    <w:rsid w:val="00776545"/>
    <w:rsid w:val="00776E89"/>
    <w:rsid w:val="007812BA"/>
    <w:rsid w:val="00782295"/>
    <w:rsid w:val="007B72F8"/>
    <w:rsid w:val="007F731F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10E4"/>
    <w:rsid w:val="008A2C8C"/>
    <w:rsid w:val="008A338E"/>
    <w:rsid w:val="008B338E"/>
    <w:rsid w:val="008C5216"/>
    <w:rsid w:val="008D148F"/>
    <w:rsid w:val="008E0B83"/>
    <w:rsid w:val="008E59A5"/>
    <w:rsid w:val="008F0B34"/>
    <w:rsid w:val="00905988"/>
    <w:rsid w:val="00907FF6"/>
    <w:rsid w:val="0091277B"/>
    <w:rsid w:val="009131FA"/>
    <w:rsid w:val="00920C46"/>
    <w:rsid w:val="00934E19"/>
    <w:rsid w:val="009358DE"/>
    <w:rsid w:val="009674CE"/>
    <w:rsid w:val="009724D4"/>
    <w:rsid w:val="00972B37"/>
    <w:rsid w:val="00982A07"/>
    <w:rsid w:val="00986BEE"/>
    <w:rsid w:val="009C1880"/>
    <w:rsid w:val="009C3BBB"/>
    <w:rsid w:val="009D6B57"/>
    <w:rsid w:val="009E6239"/>
    <w:rsid w:val="009F0D03"/>
    <w:rsid w:val="009F4C72"/>
    <w:rsid w:val="00A12E00"/>
    <w:rsid w:val="00A26962"/>
    <w:rsid w:val="00A33A51"/>
    <w:rsid w:val="00A426A3"/>
    <w:rsid w:val="00A54F6C"/>
    <w:rsid w:val="00A71A8F"/>
    <w:rsid w:val="00A8685E"/>
    <w:rsid w:val="00A87093"/>
    <w:rsid w:val="00AA7E2D"/>
    <w:rsid w:val="00AD4369"/>
    <w:rsid w:val="00AD6678"/>
    <w:rsid w:val="00B064DC"/>
    <w:rsid w:val="00B15D9C"/>
    <w:rsid w:val="00B17F43"/>
    <w:rsid w:val="00B2685F"/>
    <w:rsid w:val="00B30FBD"/>
    <w:rsid w:val="00B312AA"/>
    <w:rsid w:val="00B34589"/>
    <w:rsid w:val="00B34649"/>
    <w:rsid w:val="00B3780D"/>
    <w:rsid w:val="00B40140"/>
    <w:rsid w:val="00B455FE"/>
    <w:rsid w:val="00B4701E"/>
    <w:rsid w:val="00B51FA5"/>
    <w:rsid w:val="00B5712F"/>
    <w:rsid w:val="00B57A1F"/>
    <w:rsid w:val="00B667EA"/>
    <w:rsid w:val="00B70A7D"/>
    <w:rsid w:val="00B734EF"/>
    <w:rsid w:val="00B736BD"/>
    <w:rsid w:val="00B75EAF"/>
    <w:rsid w:val="00B82614"/>
    <w:rsid w:val="00B87AD3"/>
    <w:rsid w:val="00BA1147"/>
    <w:rsid w:val="00BA5124"/>
    <w:rsid w:val="00BF1120"/>
    <w:rsid w:val="00BF7569"/>
    <w:rsid w:val="00C241ED"/>
    <w:rsid w:val="00C414E0"/>
    <w:rsid w:val="00C50743"/>
    <w:rsid w:val="00C52F9A"/>
    <w:rsid w:val="00C55118"/>
    <w:rsid w:val="00C720F1"/>
    <w:rsid w:val="00C7249D"/>
    <w:rsid w:val="00C77018"/>
    <w:rsid w:val="00C80013"/>
    <w:rsid w:val="00C87AA9"/>
    <w:rsid w:val="00C91423"/>
    <w:rsid w:val="00C91E5C"/>
    <w:rsid w:val="00C93024"/>
    <w:rsid w:val="00C930B6"/>
    <w:rsid w:val="00CA0F2F"/>
    <w:rsid w:val="00CA77A2"/>
    <w:rsid w:val="00CB605B"/>
    <w:rsid w:val="00CC4E46"/>
    <w:rsid w:val="00CE0BF6"/>
    <w:rsid w:val="00CE47AC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A1DA2"/>
    <w:rsid w:val="00EB297C"/>
    <w:rsid w:val="00EC5A03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475A6"/>
    <w:rsid w:val="00F620DD"/>
    <w:rsid w:val="00F62C48"/>
    <w:rsid w:val="00F6372D"/>
    <w:rsid w:val="00F90828"/>
    <w:rsid w:val="00F923B4"/>
    <w:rsid w:val="00FA610B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name">
    <w:name w:val="name"/>
    <w:basedOn w:val="a0"/>
    <w:rsid w:val="00CE0BF6"/>
  </w:style>
  <w:style w:type="paragraph" w:styleId="af2">
    <w:name w:val="Normal (Web)"/>
    <w:basedOn w:val="a"/>
    <w:uiPriority w:val="99"/>
    <w:semiHidden/>
    <w:unhideWhenUsed/>
    <w:rsid w:val="00CE0B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CE0BF6"/>
  </w:style>
  <w:style w:type="character" w:styleId="af3">
    <w:name w:val="Hyperlink"/>
    <w:basedOn w:val="a0"/>
    <w:uiPriority w:val="99"/>
    <w:semiHidden/>
    <w:unhideWhenUsed/>
    <w:rsid w:val="00CE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43018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319337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7452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2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323659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667949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20809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206217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773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8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645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27089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C64A-A922-4BD6-A781-B0D7D7B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8457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Шапошнік Юлія Олексіївна</dc:creator>
  <cp:lastModifiedBy>Корнійчук Олеся Михайлівна</cp:lastModifiedBy>
  <cp:revision>2</cp:revision>
  <cp:lastPrinted>2023-01-12T09:07:00Z</cp:lastPrinted>
  <dcterms:created xsi:type="dcterms:W3CDTF">2023-01-13T12:08:00Z</dcterms:created>
  <dcterms:modified xsi:type="dcterms:W3CDTF">2023-01-13T12:08:00Z</dcterms:modified>
</cp:coreProperties>
</file>