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4F33AE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4F33AE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4F33AE">
        <w:rPr>
          <w:noProof/>
          <w:sz w:val="36"/>
          <w:szCs w:val="36"/>
          <w:lang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591705195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591705195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4F33AE">
        <w:rPr>
          <w:b/>
          <w:bCs/>
          <w:sz w:val="36"/>
          <w:szCs w:val="36"/>
        </w:rPr>
        <w:t>ПОЯСНЮВАЛЬНА ЗАПИСКА</w:t>
      </w:r>
    </w:p>
    <w:p w14:paraId="665764F7" w14:textId="47C162CD" w:rsidR="008A338E" w:rsidRPr="004F33AE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4F33AE">
        <w:rPr>
          <w:noProof/>
          <w:lang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5BECE2CF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4F33AE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4F33AE">
        <w:rPr>
          <w:b/>
          <w:bCs/>
          <w:i w:val="0"/>
          <w:iCs w:val="0"/>
          <w:sz w:val="24"/>
          <w:szCs w:val="24"/>
        </w:rPr>
        <w:t>ПЗ</w:t>
      </w:r>
      <w:r w:rsidR="00B87AD3" w:rsidRPr="004F33AE">
        <w:rPr>
          <w:b/>
          <w:bCs/>
          <w:i w:val="0"/>
          <w:iCs w:val="0"/>
          <w:sz w:val="24"/>
          <w:szCs w:val="24"/>
        </w:rPr>
        <w:t>Н</w:t>
      </w:r>
      <w:r w:rsidR="00C55118" w:rsidRPr="004F33AE">
        <w:rPr>
          <w:b/>
          <w:bCs/>
          <w:sz w:val="24"/>
          <w:szCs w:val="24"/>
        </w:rPr>
        <w:t>-57681</w:t>
      </w:r>
      <w:r w:rsidR="007B72F8" w:rsidRPr="004F33AE">
        <w:rPr>
          <w:b/>
          <w:bCs/>
          <w:i w:val="0"/>
          <w:iCs w:val="0"/>
          <w:sz w:val="24"/>
          <w:szCs w:val="24"/>
        </w:rPr>
        <w:t xml:space="preserve"> від </w:t>
      </w:r>
      <w:r w:rsidR="00962FC6" w:rsidRPr="00962FC6">
        <w:rPr>
          <w:b/>
          <w:bCs/>
          <w:sz w:val="24"/>
          <w:szCs w:val="24"/>
        </w:rPr>
        <w:t>15</w:t>
      </w:r>
      <w:r w:rsidR="00C55118" w:rsidRPr="00962FC6">
        <w:rPr>
          <w:b/>
          <w:bCs/>
          <w:sz w:val="24"/>
          <w:szCs w:val="24"/>
        </w:rPr>
        <w:t>.</w:t>
      </w:r>
      <w:r w:rsidR="00C5697A" w:rsidRPr="00962FC6">
        <w:rPr>
          <w:b/>
          <w:bCs/>
          <w:sz w:val="24"/>
          <w:szCs w:val="24"/>
        </w:rPr>
        <w:t>1</w:t>
      </w:r>
      <w:r w:rsidR="00962FC6" w:rsidRPr="00962FC6">
        <w:rPr>
          <w:b/>
          <w:bCs/>
          <w:sz w:val="24"/>
          <w:szCs w:val="24"/>
        </w:rPr>
        <w:t>1</w:t>
      </w:r>
      <w:r w:rsidR="00C55118" w:rsidRPr="00962FC6">
        <w:rPr>
          <w:b/>
          <w:bCs/>
          <w:sz w:val="24"/>
          <w:szCs w:val="24"/>
        </w:rPr>
        <w:t>.2024</w:t>
      </w:r>
    </w:p>
    <w:p w14:paraId="41C95576" w14:textId="47DE295C" w:rsidR="008A338E" w:rsidRPr="004F33AE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до проє</w:t>
      </w:r>
      <w:r w:rsidR="003E1B2C" w:rsidRPr="004F33AE">
        <w:rPr>
          <w:i w:val="0"/>
          <w:sz w:val="24"/>
          <w:szCs w:val="24"/>
        </w:rPr>
        <w:t xml:space="preserve">кту </w:t>
      </w:r>
      <w:r w:rsidR="00FB754A" w:rsidRPr="004F33AE">
        <w:rPr>
          <w:i w:val="0"/>
          <w:sz w:val="24"/>
          <w:szCs w:val="24"/>
        </w:rPr>
        <w:t>рішення</w:t>
      </w:r>
      <w:r w:rsidR="003E1B2C" w:rsidRPr="004F33AE">
        <w:rPr>
          <w:i w:val="0"/>
          <w:sz w:val="24"/>
          <w:szCs w:val="24"/>
        </w:rPr>
        <w:t xml:space="preserve"> Київської міської</w:t>
      </w:r>
      <w:r w:rsidR="00FB754A" w:rsidRPr="004F33AE">
        <w:rPr>
          <w:i w:val="0"/>
          <w:sz w:val="24"/>
          <w:szCs w:val="24"/>
        </w:rPr>
        <w:t xml:space="preserve"> </w:t>
      </w:r>
      <w:r w:rsidR="003E1B2C" w:rsidRPr="004F33AE">
        <w:rPr>
          <w:i w:val="0"/>
          <w:sz w:val="24"/>
          <w:szCs w:val="24"/>
        </w:rPr>
        <w:t>ради:</w:t>
      </w:r>
    </w:p>
    <w:p w14:paraId="694B787A" w14:textId="055530D7" w:rsidR="00B358A5" w:rsidRPr="004F33AE" w:rsidRDefault="00AC2403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4F33AE">
        <w:rPr>
          <w:b/>
          <w:i/>
          <w:sz w:val="24"/>
          <w:szCs w:val="24"/>
        </w:rPr>
        <w:t>Про поновлення приватному акціонерному товариству  «ВФ УКРАЇНА» договору оренди земельної ділянки                                  від 31 жовтня 2008 року № 63-6-00520 (зі змінами)  для експлуатації та обслуговування будівель автомобільного господарства  на вул. Архітектора Вербицького, 1-з у Дарницькому районі м. Києва</w:t>
      </w:r>
    </w:p>
    <w:p w14:paraId="04A53D07" w14:textId="11025959" w:rsidR="00694D51" w:rsidRPr="004F33AE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4F33AE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4F33AE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4F33A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4F33AE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A522650" w:rsidR="00E94376" w:rsidRPr="004F33AE" w:rsidRDefault="00B358A5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4F33AE">
              <w:rPr>
                <w:i/>
                <w:sz w:val="24"/>
                <w:szCs w:val="24"/>
              </w:rPr>
              <w:t>Приватне акціонерне товариство</w:t>
            </w:r>
            <w:r w:rsidR="00C55118" w:rsidRPr="004F33AE">
              <w:rPr>
                <w:i/>
                <w:sz w:val="24"/>
                <w:szCs w:val="24"/>
              </w:rPr>
              <w:t xml:space="preserve"> «ВФ УКРАЇНА»</w:t>
            </w:r>
            <w:r w:rsidR="000B1E6A" w:rsidRPr="004F33AE">
              <w:rPr>
                <w:i/>
                <w:sz w:val="24"/>
                <w:szCs w:val="24"/>
              </w:rPr>
              <w:t xml:space="preserve"> (</w:t>
            </w:r>
            <w:r w:rsidR="00FF0A55" w:rsidRPr="004F33AE">
              <w:rPr>
                <w:i/>
                <w:sz w:val="24"/>
                <w:szCs w:val="24"/>
              </w:rPr>
              <w:t>ЄДРПОУ</w:t>
            </w:r>
            <w:r w:rsidR="002B5778" w:rsidRPr="004F33AE">
              <w:rPr>
                <w:i/>
                <w:sz w:val="24"/>
                <w:szCs w:val="24"/>
              </w:rPr>
              <w:t xml:space="preserve"> </w:t>
            </w:r>
            <w:r w:rsidR="000B1E6A" w:rsidRPr="004F33AE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14333937</w:t>
            </w:r>
            <w:r w:rsidR="000B1E6A" w:rsidRPr="004F33AE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Pr="004F33AE">
              <w:rPr>
                <w:i/>
                <w:color w:val="auto"/>
                <w:sz w:val="24"/>
                <w:szCs w:val="24"/>
                <w:lang w:bidi="ar-SA"/>
              </w:rPr>
              <w:t xml:space="preserve"> (далі - Товариство)</w:t>
            </w:r>
          </w:p>
        </w:tc>
      </w:tr>
      <w:tr w:rsidR="00E94376" w:rsidRPr="004F33AE" w14:paraId="34CD5485" w14:textId="77777777" w:rsidTr="00AA12C2">
        <w:trPr>
          <w:cantSplit/>
          <w:trHeight w:val="871"/>
        </w:trPr>
        <w:tc>
          <w:tcPr>
            <w:tcW w:w="2977" w:type="dxa"/>
          </w:tcPr>
          <w:p w14:paraId="7311DA8C" w14:textId="44FB98E4" w:rsidR="00E94376" w:rsidRPr="004F33AE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4F33A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68EDBD0E" w:rsidR="007812BA" w:rsidRPr="004F33A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587516A8" w14:textId="77777777" w:rsidR="00AA12C2" w:rsidRPr="00AA12C2" w:rsidRDefault="00AA12C2" w:rsidP="00AA12C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A12C2">
              <w:rPr>
                <w:i/>
                <w:sz w:val="24"/>
                <w:szCs w:val="24"/>
              </w:rPr>
              <w:t>АКЦІОНЕРИ ЗГІДНО РЕЄСТРУ</w:t>
            </w:r>
          </w:p>
          <w:p w14:paraId="1EF315BB" w14:textId="77777777" w:rsidR="00AA12C2" w:rsidRPr="00AA12C2" w:rsidRDefault="00AA12C2" w:rsidP="00AA12C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A12C2">
              <w:rPr>
                <w:i/>
                <w:sz w:val="24"/>
                <w:szCs w:val="24"/>
              </w:rPr>
              <w:t>Розмір внеску до статутного фонду: 7 832 972,37 грн</w:t>
            </w:r>
          </w:p>
          <w:p w14:paraId="6643096C" w14:textId="72740B98" w:rsidR="00E94376" w:rsidRPr="004F33AE" w:rsidRDefault="00AA12C2" w:rsidP="00AA12C2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AA12C2">
              <w:rPr>
                <w:i/>
                <w:sz w:val="24"/>
                <w:szCs w:val="24"/>
              </w:rPr>
              <w:t>Частка (%): 100,00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94376" w:rsidRPr="004F33AE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4F33A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14C1BF32" w:rsidR="00E94376" w:rsidRPr="004F33AE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444377C8" w14:textId="77777777" w:rsidR="00366AF8" w:rsidRPr="00366AF8" w:rsidRDefault="00366AF8" w:rsidP="00366AF8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ХАСАНОВ НАСІБ</w:t>
            </w:r>
          </w:p>
          <w:p w14:paraId="6B571DC1" w14:textId="77777777" w:rsidR="00366AF8" w:rsidRPr="00366AF8" w:rsidRDefault="00366AF8" w:rsidP="00366AF8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Країна громадянства бенефіціара: Азербайджан</w:t>
            </w:r>
          </w:p>
          <w:p w14:paraId="6895AAEF" w14:textId="77777777" w:rsidR="00366AF8" w:rsidRPr="00366AF8" w:rsidRDefault="00366AF8" w:rsidP="00366AF8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Країна реєстрації:  Азербайджан</w:t>
            </w:r>
          </w:p>
          <w:p w14:paraId="2CD16558" w14:textId="77777777" w:rsidR="00366AF8" w:rsidRPr="00366AF8" w:rsidRDefault="00366AF8" w:rsidP="00366AF8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Адреса бенефіціара: Азербайджан, місто Баку, вулиця Юсіфова, будинок 59, квартира 17</w:t>
            </w:r>
          </w:p>
          <w:p w14:paraId="747D4288" w14:textId="77777777" w:rsidR="00366AF8" w:rsidRPr="00366AF8" w:rsidRDefault="00366AF8" w:rsidP="00366AF8">
            <w:pPr>
              <w:pStyle w:val="a7"/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Тип бенефіціарного володіння: Не прямий вирішальний вплив</w:t>
            </w:r>
          </w:p>
          <w:p w14:paraId="1C7A8B69" w14:textId="6A1F6599" w:rsidR="00E94376" w:rsidRPr="004F33AE" w:rsidRDefault="00366AF8" w:rsidP="00366AF8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366AF8">
              <w:rPr>
                <w:bCs w:val="0"/>
                <w:i/>
                <w:iCs/>
                <w:sz w:val="24"/>
                <w:szCs w:val="24"/>
              </w:rPr>
              <w:t>Відсоток частки статутного капіталу або відсоток права голосу (непрямий вплив): 100</w:t>
            </w:r>
            <w:r>
              <w:rPr>
                <w:bCs w:val="0"/>
                <w:i/>
                <w:iCs/>
                <w:sz w:val="24"/>
                <w:szCs w:val="24"/>
              </w:rPr>
              <w:t>.</w:t>
            </w:r>
          </w:p>
        </w:tc>
      </w:tr>
      <w:tr w:rsidR="00E94376" w:rsidRPr="004F33AE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4F33AE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4F33AE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700C57D" w:rsidR="00E94376" w:rsidRPr="004F33AE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4F33AE">
              <w:rPr>
                <w:b/>
                <w:i/>
                <w:sz w:val="24"/>
                <w:szCs w:val="24"/>
              </w:rPr>
              <w:t>від</w:t>
            </w:r>
            <w:r w:rsidRPr="004F33AE">
              <w:rPr>
                <w:b/>
                <w:sz w:val="24"/>
                <w:szCs w:val="24"/>
              </w:rPr>
              <w:t xml:space="preserve"> </w:t>
            </w:r>
            <w:r w:rsidR="001B1510" w:rsidRPr="004F33AE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25.07.2023</w:t>
            </w:r>
            <w:r w:rsidR="00905988" w:rsidRPr="004F33AE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4F33AE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4F33AE">
              <w:rPr>
                <w:b/>
                <w:i/>
                <w:sz w:val="24"/>
                <w:szCs w:val="24"/>
              </w:rPr>
              <w:t>591705195</w:t>
            </w:r>
            <w:r w:rsidR="008D5D6E">
              <w:rPr>
                <w:b/>
                <w:i/>
                <w:sz w:val="24"/>
                <w:szCs w:val="24"/>
              </w:rPr>
              <w:t xml:space="preserve">, </w:t>
            </w:r>
            <w:r w:rsidR="008D5D6E" w:rsidRPr="008D5D6E">
              <w:rPr>
                <w:b/>
                <w:i/>
                <w:sz w:val="24"/>
                <w:szCs w:val="24"/>
              </w:rPr>
              <w:t>від 15</w:t>
            </w:r>
            <w:r w:rsidR="008D5D6E">
              <w:rPr>
                <w:b/>
                <w:i/>
                <w:sz w:val="24"/>
                <w:szCs w:val="24"/>
              </w:rPr>
              <w:t>.05.</w:t>
            </w:r>
            <w:r w:rsidR="008D5D6E" w:rsidRPr="008D5D6E">
              <w:rPr>
                <w:b/>
                <w:i/>
                <w:sz w:val="24"/>
                <w:szCs w:val="24"/>
              </w:rPr>
              <w:t>202</w:t>
            </w:r>
            <w:r w:rsidR="008D5D6E">
              <w:rPr>
                <w:b/>
                <w:i/>
                <w:sz w:val="24"/>
                <w:szCs w:val="24"/>
              </w:rPr>
              <w:t>4</w:t>
            </w:r>
            <w:r w:rsidR="00366AF8">
              <w:rPr>
                <w:b/>
                <w:i/>
                <w:sz w:val="24"/>
                <w:szCs w:val="24"/>
              </w:rPr>
              <w:t xml:space="preserve"> № б/н.</w:t>
            </w:r>
          </w:p>
        </w:tc>
      </w:tr>
    </w:tbl>
    <w:p w14:paraId="0CA06CD8" w14:textId="2CCFB8E7" w:rsidR="008A338E" w:rsidRPr="004F33A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4F33AE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Pr="004F33AE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4F33AE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4F33AE">
        <w:rPr>
          <w:sz w:val="24"/>
          <w:szCs w:val="24"/>
        </w:rPr>
        <w:t>2. Відомості про земельну ділянку (</w:t>
      </w:r>
      <w:r w:rsidR="00056A2A" w:rsidRPr="004F33AE">
        <w:rPr>
          <w:sz w:val="24"/>
          <w:szCs w:val="24"/>
        </w:rPr>
        <w:t xml:space="preserve">кадастровий </w:t>
      </w:r>
      <w:r w:rsidRPr="004F33AE">
        <w:rPr>
          <w:sz w:val="24"/>
          <w:szCs w:val="24"/>
        </w:rPr>
        <w:t xml:space="preserve">№ </w:t>
      </w:r>
      <w:r w:rsidR="00C55118" w:rsidRPr="004F33AE">
        <w:rPr>
          <w:sz w:val="24"/>
          <w:szCs w:val="24"/>
        </w:rPr>
        <w:t>8000000000:90:158:0117</w:t>
      </w:r>
      <w:r w:rsidRPr="004F33AE">
        <w:rPr>
          <w:sz w:val="24"/>
          <w:szCs w:val="24"/>
        </w:rPr>
        <w:t>)</w:t>
      </w:r>
      <w:r w:rsidR="00880A60" w:rsidRPr="004F33AE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4F33AE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4F33AE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4F33AE">
              <w:rPr>
                <w:i/>
                <w:sz w:val="24"/>
                <w:szCs w:val="24"/>
              </w:rPr>
              <w:t xml:space="preserve"> </w:t>
            </w:r>
            <w:r w:rsidR="007B72F8" w:rsidRPr="004F33AE">
              <w:rPr>
                <w:i/>
                <w:sz w:val="24"/>
                <w:szCs w:val="24"/>
              </w:rPr>
              <w:t>Місце розташування</w:t>
            </w:r>
            <w:r w:rsidR="007B72F8" w:rsidRPr="004F33AE">
              <w:rPr>
                <w:sz w:val="24"/>
                <w:szCs w:val="24"/>
              </w:rPr>
              <w:t xml:space="preserve"> </w:t>
            </w:r>
            <w:r w:rsidR="007B72F8" w:rsidRPr="004F33AE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4F33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F33AE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4F33AE">
              <w:rPr>
                <w:b/>
                <w:i/>
                <w:sz w:val="24"/>
                <w:szCs w:val="24"/>
                <w:shd w:val="clear" w:color="auto" w:fill="FFFFFF"/>
              </w:rPr>
              <w:t>вул. Архітектора Вербицького, 1-з у Дарницькому районі</w:t>
            </w:r>
          </w:p>
        </w:tc>
      </w:tr>
      <w:tr w:rsidR="008A338E" w:rsidRPr="004F33AE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4F33AE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F33AE">
              <w:rPr>
                <w:i/>
                <w:sz w:val="24"/>
                <w:szCs w:val="24"/>
              </w:rPr>
              <w:t xml:space="preserve"> </w:t>
            </w:r>
            <w:r w:rsidR="007B72F8" w:rsidRPr="004F33AE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4F33AE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4F33AE">
              <w:rPr>
                <w:b/>
                <w:i/>
                <w:iCs/>
                <w:sz w:val="24"/>
                <w:szCs w:val="24"/>
              </w:rPr>
              <w:t>0,3608 га</w:t>
            </w:r>
          </w:p>
        </w:tc>
      </w:tr>
      <w:tr w:rsidR="008A338E" w:rsidRPr="004F33AE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4F33AE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F33AE">
              <w:rPr>
                <w:i/>
                <w:sz w:val="24"/>
                <w:szCs w:val="24"/>
              </w:rPr>
              <w:t xml:space="preserve"> </w:t>
            </w:r>
            <w:r w:rsidR="007B72F8" w:rsidRPr="004F33AE">
              <w:rPr>
                <w:i/>
                <w:sz w:val="24"/>
                <w:szCs w:val="24"/>
              </w:rPr>
              <w:t xml:space="preserve">Вид та термін </w:t>
            </w:r>
            <w:r w:rsidR="00FB154C" w:rsidRPr="004F33AE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4F33AE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F33AE">
              <w:rPr>
                <w:b/>
                <w:i/>
                <w:sz w:val="24"/>
                <w:szCs w:val="24"/>
              </w:rPr>
              <w:t>о</w:t>
            </w:r>
            <w:r w:rsidR="0091277B" w:rsidRPr="004F33AE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4F33AE">
              <w:rPr>
                <w:b/>
                <w:i/>
                <w:sz w:val="24"/>
                <w:szCs w:val="24"/>
              </w:rPr>
              <w:t>10</w:t>
            </w:r>
            <w:r w:rsidR="0091277B" w:rsidRPr="004F33AE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4F33AE">
              <w:rPr>
                <w:b/>
                <w:i/>
                <w:sz w:val="24"/>
                <w:szCs w:val="24"/>
              </w:rPr>
              <w:t>років</w:t>
            </w:r>
            <w:r w:rsidR="00B51FA5" w:rsidRPr="004F33AE">
              <w:rPr>
                <w:b/>
                <w:i/>
                <w:sz w:val="24"/>
                <w:szCs w:val="24"/>
              </w:rPr>
              <w:t xml:space="preserve"> </w:t>
            </w:r>
            <w:r w:rsidRPr="004F33AE">
              <w:rPr>
                <w:b/>
                <w:i/>
                <w:sz w:val="24"/>
                <w:szCs w:val="24"/>
              </w:rPr>
              <w:t>(</w:t>
            </w:r>
            <w:r w:rsidR="006A19DF" w:rsidRPr="004F33AE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4F33A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4F33AE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5E4B5805" w:rsidR="006764C8" w:rsidRPr="004F33AE" w:rsidRDefault="007A5002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 w:rsidRPr="004F33AE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2F7EFE97" w:rsidR="006764C8" w:rsidRPr="004F33AE" w:rsidRDefault="000B0B65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4F33AE">
              <w:rPr>
                <w:b/>
                <w:i/>
                <w:sz w:val="24"/>
                <w:szCs w:val="24"/>
              </w:rPr>
              <w:t>13.01</w:t>
            </w:r>
            <w:r w:rsidR="005769B6" w:rsidRPr="004F33AE">
              <w:rPr>
                <w:rFonts w:ascii="Courier New" w:eastAsia="Courier New" w:hAnsi="Courier New" w:cs="Courier New"/>
                <w:sz w:val="20"/>
                <w:szCs w:val="20"/>
                <w:highlight w:val="white"/>
                <w:lang w:bidi="ar-SA"/>
              </w:rPr>
              <w:t xml:space="preserve"> </w:t>
            </w:r>
            <w:r w:rsidR="005769B6" w:rsidRPr="004F33AE">
              <w:rPr>
                <w:b/>
                <w:i/>
                <w:sz w:val="24"/>
                <w:szCs w:val="24"/>
              </w:rPr>
              <w:t xml:space="preserve">для розміщення та експлуатації об'єктів і споруд </w:t>
            </w:r>
            <w:r w:rsidR="00AF175C">
              <w:rPr>
                <w:b/>
                <w:i/>
                <w:sz w:val="24"/>
                <w:szCs w:val="24"/>
              </w:rPr>
              <w:t xml:space="preserve">електронних </w:t>
            </w:r>
            <w:r w:rsidR="005769B6" w:rsidRPr="004F33AE">
              <w:rPr>
                <w:b/>
                <w:i/>
                <w:sz w:val="24"/>
                <w:szCs w:val="24"/>
              </w:rPr>
              <w:t>комунікацій</w:t>
            </w:r>
            <w:r w:rsidRPr="004F33AE">
              <w:rPr>
                <w:b/>
                <w:i/>
                <w:sz w:val="24"/>
                <w:szCs w:val="24"/>
              </w:rPr>
              <w:t xml:space="preserve"> (</w:t>
            </w:r>
            <w:r w:rsidR="004F33AE" w:rsidRPr="004F33AE">
              <w:rPr>
                <w:b/>
                <w:i/>
                <w:sz w:val="24"/>
                <w:szCs w:val="24"/>
              </w:rPr>
              <w:t>для експлуатації та обслуговування будівель автомобільного господарства</w:t>
            </w:r>
            <w:r w:rsidRPr="004F33AE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4F33AE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4F33A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F33AE">
              <w:rPr>
                <w:iCs w:val="0"/>
                <w:sz w:val="24"/>
                <w:szCs w:val="24"/>
              </w:rPr>
              <w:t xml:space="preserve"> </w:t>
            </w:r>
            <w:r w:rsidR="006764C8" w:rsidRPr="004F33AE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F33AE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4F33AE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F33AE">
              <w:rPr>
                <w:iCs w:val="0"/>
                <w:sz w:val="24"/>
                <w:szCs w:val="24"/>
              </w:rPr>
              <w:t xml:space="preserve"> </w:t>
            </w:r>
            <w:r w:rsidR="006764C8" w:rsidRPr="004F33AE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4F33AE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F33AE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4F33AE">
              <w:rPr>
                <w:iCs w:val="0"/>
                <w:sz w:val="18"/>
                <w:szCs w:val="18"/>
              </w:rPr>
              <w:t>(за поперед</w:t>
            </w:r>
            <w:r w:rsidR="00056A2A" w:rsidRPr="004F33AE">
              <w:rPr>
                <w:iCs w:val="0"/>
                <w:sz w:val="18"/>
                <w:szCs w:val="18"/>
              </w:rPr>
              <w:t>нім</w:t>
            </w:r>
            <w:r w:rsidR="006764C8" w:rsidRPr="004F33AE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3CB8667F" w14:textId="5FC7E1F5" w:rsidR="006D7E33" w:rsidRPr="004F33AE" w:rsidRDefault="0033417F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4F33AE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B358A5" w:rsidRPr="004F33AE">
              <w:rPr>
                <w:b/>
                <w:i/>
                <w:sz w:val="24"/>
                <w:szCs w:val="24"/>
                <w:shd w:val="clear" w:color="auto" w:fill="FFFFFF"/>
              </w:rPr>
              <w:t>9 209 861,58 грн</w:t>
            </w:r>
          </w:p>
          <w:p w14:paraId="0DCAEE6E" w14:textId="34CABE9E" w:rsidR="006D7E33" w:rsidRPr="004F33AE" w:rsidRDefault="006D7E33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1EE201F4" w14:textId="534BA03A" w:rsidR="008A338E" w:rsidRPr="004F33A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4F33AE">
        <w:rPr>
          <w:sz w:val="18"/>
          <w:szCs w:val="18"/>
        </w:rPr>
        <w:t>*</w:t>
      </w:r>
      <w:r w:rsidR="006A19DF" w:rsidRPr="004F33AE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4F33AE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4F33A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4F33AE">
        <w:rPr>
          <w:b/>
          <w:bCs/>
          <w:i w:val="0"/>
          <w:iCs w:val="0"/>
          <w:sz w:val="24"/>
          <w:szCs w:val="24"/>
        </w:rPr>
        <w:t>.</w:t>
      </w:r>
    </w:p>
    <w:p w14:paraId="509D551C" w14:textId="64813344" w:rsidR="006A19DF" w:rsidRPr="004F33AE" w:rsidRDefault="006A19DF" w:rsidP="00962FC6">
      <w:pPr>
        <w:pStyle w:val="af1"/>
        <w:ind w:firstLine="426"/>
        <w:jc w:val="both"/>
        <w:rPr>
          <w:rFonts w:ascii="Times New Roman" w:hAnsi="Times New Roman" w:cs="Times New Roman"/>
          <w:i/>
        </w:rPr>
      </w:pPr>
      <w:r w:rsidRPr="004F33AE">
        <w:rPr>
          <w:rFonts w:ascii="Times New Roman" w:hAnsi="Times New Roman" w:cs="Times New Roman"/>
        </w:rPr>
        <w:t xml:space="preserve">Розглянувши звернення зацікавленої особи, відповідно до Земельного кодексу України, </w:t>
      </w:r>
      <w:r w:rsidR="00962FC6" w:rsidRPr="00962FC6">
        <w:rPr>
          <w:rFonts w:ascii="Times New Roman" w:hAnsi="Times New Roman" w:cs="Times New Roman"/>
        </w:rPr>
        <w:t>абзацу четвертого розділу IX «Перехідні положення» Закону України «Про оренду землі»</w:t>
      </w:r>
      <w:r w:rsidRPr="004F33AE">
        <w:rPr>
          <w:rFonts w:ascii="Times New Roman" w:hAnsi="Times New Roman" w:cs="Times New Roman"/>
        </w:rPr>
        <w:t xml:space="preserve"> та Порядку набуття прав на землю із земель комунальної</w:t>
      </w:r>
      <w:r w:rsidR="00962FC6">
        <w:rPr>
          <w:rFonts w:ascii="Times New Roman" w:hAnsi="Times New Roman" w:cs="Times New Roman"/>
        </w:rPr>
        <w:t xml:space="preserve"> </w:t>
      </w:r>
      <w:r w:rsidRPr="004F33AE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4F33AE">
        <w:rPr>
          <w:rFonts w:ascii="Times New Roman" w:hAnsi="Times New Roman" w:cs="Times New Roman"/>
        </w:rPr>
        <w:t>.04.</w:t>
      </w:r>
      <w:r w:rsidRPr="004F33AE">
        <w:rPr>
          <w:rFonts w:ascii="Times New Roman" w:hAnsi="Times New Roman" w:cs="Times New Roman"/>
        </w:rPr>
        <w:t>2017</w:t>
      </w:r>
      <w:r w:rsidR="000D0D1E" w:rsidRPr="000D0D1E">
        <w:rPr>
          <w:rFonts w:ascii="Times New Roman" w:hAnsi="Times New Roman" w:cs="Times New Roman"/>
        </w:rPr>
        <w:t xml:space="preserve"> </w:t>
      </w:r>
      <w:r w:rsidRPr="004F33AE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4F33AE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4F33A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F33AE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4F33AE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4F33AE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4511209" w14:textId="77777777" w:rsidR="00C05AAC" w:rsidRDefault="00C05AAC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9903C44" w14:textId="77777777" w:rsidR="00AF175C" w:rsidRDefault="00AF175C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62141252" w14:textId="77777777" w:rsidR="00AF175C" w:rsidRPr="004F33AE" w:rsidRDefault="00AF175C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383B1F6" w14:textId="77777777" w:rsidR="00C05AAC" w:rsidRPr="004F33AE" w:rsidRDefault="00C05AAC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4F33AE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4F33AE">
        <w:rPr>
          <w:sz w:val="24"/>
          <w:szCs w:val="24"/>
        </w:rPr>
        <w:t>5. О</w:t>
      </w:r>
      <w:r w:rsidR="00FC32B6" w:rsidRPr="004F33AE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4F33AE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4F33A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4F33A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1BB6FADA" w14:textId="24F68DCE" w:rsidR="00B358A5" w:rsidRPr="004F33AE" w:rsidRDefault="00056A2A" w:rsidP="00B358A5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>Забудована</w:t>
            </w:r>
            <w:r w:rsidR="00B358A5" w:rsidRPr="004F33A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  <w:p w14:paraId="36DE9743" w14:textId="77777777" w:rsidR="00803312" w:rsidRDefault="00B358A5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>Згідно з актом обстеження земельної ділянки від 28.11.2023  № ДК/247-АО/2023 на земельній ділянці розміщується декілька адміністративних будівель</w:t>
            </w:r>
            <w:r w:rsidR="00803312" w:rsidRPr="004F33AE">
              <w:rPr>
                <w:b w:val="0"/>
                <w:bCs w:val="0"/>
                <w:i/>
                <w:sz w:val="24"/>
                <w:szCs w:val="24"/>
              </w:rPr>
              <w:t>, ангар для зберігання автомобілів. Ділянка огороджена та охороняється.</w:t>
            </w:r>
          </w:p>
          <w:p w14:paraId="506E57A9" w14:textId="4293FA94" w:rsidR="004F33AE" w:rsidRPr="004F33AE" w:rsidRDefault="004F33AE" w:rsidP="00B312AA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 xml:space="preserve">Відповідно до реєстраційного посвідчення № 025147 </w:t>
            </w:r>
            <w:r w:rsidR="00EA2121">
              <w:rPr>
                <w:b w:val="0"/>
                <w:bCs w:val="0"/>
                <w:i/>
                <w:sz w:val="24"/>
                <w:szCs w:val="24"/>
              </w:rPr>
              <w:t xml:space="preserve">                      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від 02.02.2006, нежила будівля цеху (літ. Е) площею 875,7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м, блок вентиляторного цеху (літ. У) площею 467,4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м, блок вентиляторного цеху (літ. В) площею 46,7 кв.</w:t>
            </w:r>
            <w:r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м</w:t>
            </w:r>
            <w:r>
              <w:rPr>
                <w:b w:val="0"/>
                <w:bCs w:val="0"/>
                <w:i/>
                <w:sz w:val="24"/>
                <w:szCs w:val="24"/>
              </w:rPr>
              <w:t>,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 xml:space="preserve"> які розташовані по вул. Архітектора Вербицького у Дарницькому районі м. Києва на праві приватної власності належать </w:t>
            </w:r>
            <w:r w:rsidR="00EA2121">
              <w:rPr>
                <w:b w:val="0"/>
                <w:bCs w:val="0"/>
                <w:i/>
                <w:sz w:val="24"/>
                <w:szCs w:val="24"/>
              </w:rPr>
              <w:t>Товариству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4F33AE" w14:paraId="411B143D" w14:textId="77777777" w:rsidTr="00731A77">
        <w:trPr>
          <w:cantSplit/>
          <w:trHeight w:val="407"/>
        </w:trPr>
        <w:tc>
          <w:tcPr>
            <w:tcW w:w="2972" w:type="dxa"/>
          </w:tcPr>
          <w:p w14:paraId="2C032EFE" w14:textId="4705779A" w:rsidR="00823CCF" w:rsidRPr="004F33A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0BF95DD4" w:rsidR="00823CCF" w:rsidRPr="004F33A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803312" w:rsidRPr="004F33A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4F33AE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4F33A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4F33AE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4F33AE">
              <w:rPr>
                <w:b w:val="0"/>
                <w:i/>
                <w:sz w:val="24"/>
                <w:szCs w:val="24"/>
              </w:rPr>
              <w:t>п</w:t>
            </w:r>
            <w:r w:rsidR="00823CCF" w:rsidRPr="004F33AE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4F33AE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4F33AE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F33AE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60611D01" w:rsidR="00823CCF" w:rsidRPr="004F33AE" w:rsidRDefault="00803312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>Території комунально-складські (існуючі)</w:t>
            </w:r>
            <w:r w:rsidR="00076391">
              <w:rPr>
                <w:b w:val="0"/>
                <w:bCs w:val="0"/>
                <w:i/>
                <w:sz w:val="24"/>
                <w:szCs w:val="24"/>
              </w:rPr>
              <w:t xml:space="preserve"> та частково вулиць і доріг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4F33AE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4F33AE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7B4EF3F0" w14:textId="613F0BB6" w:rsidR="00731A77" w:rsidRPr="00EE137E" w:rsidRDefault="00731A77" w:rsidP="00731A77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Земельна ділянка перебуває у комунальній власності територіальної громади міста Києва</w:t>
            </w:r>
            <w:r w:rsidR="0014618A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14618A" w:rsidRPr="0014618A">
              <w:rPr>
                <w:b w:val="0"/>
                <w:bCs w:val="0"/>
                <w:i/>
                <w:sz w:val="24"/>
                <w:szCs w:val="24"/>
              </w:rPr>
              <w:t>відповідно до Закону України «Про внесення змін до деяких законодавчих актів України щодо розмежування земель державної та комунальної власності».</w:t>
            </w:r>
          </w:p>
          <w:p w14:paraId="0EC5BAC8" w14:textId="06464019" w:rsidR="00823CCF" w:rsidRPr="004F33A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F33A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4F33A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4F33A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4F33A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4F33A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F33AE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13.01</w:t>
            </w:r>
            <w:r w:rsidRPr="004F33A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4F33AE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4F33A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4F33A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4F33AE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3D58A635" w:rsidR="00295B37" w:rsidRPr="004F33A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F33A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C05AAC" w:rsidRPr="004F33AE" w14:paraId="6A39D3A6" w14:textId="77777777" w:rsidTr="00430CA4">
        <w:trPr>
          <w:cantSplit/>
          <w:trHeight w:val="1413"/>
        </w:trPr>
        <w:tc>
          <w:tcPr>
            <w:tcW w:w="2972" w:type="dxa"/>
          </w:tcPr>
          <w:p w14:paraId="24F083A8" w14:textId="206AEA09" w:rsidR="00C05AAC" w:rsidRPr="004F33AE" w:rsidRDefault="00C05AAC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519F7001" w14:textId="22BCA5F7" w:rsidR="00C05AAC" w:rsidRPr="004F33AE" w:rsidRDefault="00C05AAC" w:rsidP="00C05A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відповідно до рішен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ь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Київської міської ради від 14.06.2007 № 839/1500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="00EA2121"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08.07.2010 № 1175/4613 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перебуває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 оренд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і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4F33AE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</w:t>
            </w:r>
            <w:r w:rsidR="00EA2121">
              <w:rPr>
                <w:rFonts w:ascii="Times New Roman" w:hAnsi="Times New Roman" w:cs="Times New Roman"/>
                <w:i/>
                <w:color w:val="auto"/>
                <w:lang w:bidi="ar-SA"/>
              </w:rPr>
              <w:t>а</w:t>
            </w:r>
            <w:r w:rsidRPr="004F33AE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 </w:t>
            </w:r>
            <w:r w:rsidR="00EA2121" w:rsidRPr="00EA2121">
              <w:rPr>
                <w:rFonts w:ascii="Times New Roman" w:eastAsia="Times New Roman" w:hAnsi="Times New Roman" w:cs="Times New Roman"/>
                <w:i/>
                <w:color w:val="auto"/>
              </w:rPr>
              <w:t>для експлуатації та обслуговування будівель автомобільного господарства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(договір оренди земельної ділянки від 31.10.2008 № 63-6-00520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EA2121" w:rsidRPr="00EA2121">
              <w:rPr>
                <w:rFonts w:ascii="Times New Roman" w:eastAsia="Times New Roman" w:hAnsi="Times New Roman" w:cs="Times New Roman"/>
                <w:i/>
                <w:color w:val="auto"/>
              </w:rPr>
              <w:t>(з урахуванням договору про внесення змін до договору оренди земельної ділянки від 17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.0</w:t>
            </w:r>
            <w:r w:rsidR="00731A77">
              <w:rPr>
                <w:rFonts w:ascii="Times New Roman" w:eastAsia="Times New Roman" w:hAnsi="Times New Roman" w:cs="Times New Roman"/>
                <w:i/>
                <w:color w:val="auto"/>
              </w:rPr>
              <w:t>6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="00EA2121" w:rsidRPr="00EA2121">
              <w:rPr>
                <w:rFonts w:ascii="Times New Roman" w:eastAsia="Times New Roman" w:hAnsi="Times New Roman" w:cs="Times New Roman"/>
                <w:i/>
                <w:color w:val="auto"/>
              </w:rPr>
              <w:t>2011 № 63-6-00624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05C05B9D" w14:textId="087E9BEF" w:rsidR="00C05AAC" w:rsidRPr="004F33AE" w:rsidRDefault="00C05AAC" w:rsidP="00C05A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 до 31.10.202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>3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7D197139" w14:textId="77777777" w:rsidR="00C05AAC" w:rsidRPr="004F33AE" w:rsidRDefault="00C05AAC" w:rsidP="00C05A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14:paraId="0D22B9F9" w14:textId="52B2CD2A" w:rsidR="00C05AAC" w:rsidRDefault="00C05AAC" w:rsidP="00C05A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Центрального МУ 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ДПС </w:t>
            </w:r>
            <w:r w:rsidR="00EA212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 роботі з ВПП         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06.09.2023 № 4293/5/31-00-13-02-20-Е станом на 06.09.2023 за </w:t>
            </w:r>
            <w:r w:rsidRPr="004F33AE">
              <w:rPr>
                <w:rFonts w:ascii="Times New Roman" w:hAnsi="Times New Roman" w:cs="Times New Roman"/>
                <w:i/>
                <w:color w:val="auto"/>
                <w:lang w:bidi="ar-SA"/>
              </w:rPr>
              <w:t xml:space="preserve">Товариством </w:t>
            </w:r>
            <w:r w:rsidRPr="004F33A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податковий борг не обліковується.</w:t>
            </w:r>
          </w:p>
          <w:p w14:paraId="335E8D44" w14:textId="4B71E888" w:rsidR="00C05AAC" w:rsidRPr="00EC2928" w:rsidRDefault="00EC2928" w:rsidP="00EC29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C2928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листа ГУ ДПС у м. Києві від </w:t>
            </w:r>
            <w:r w:rsidR="00C5697A" w:rsidRPr="00C5697A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14.10.2024                            № 30312/5/26-15-13-01-05 станом на 01.10.2024 </w:t>
            </w:r>
            <w:r w:rsidRPr="00EC2928">
              <w:rPr>
                <w:rFonts w:ascii="Times New Roman" w:eastAsia="Times New Roman" w:hAnsi="Times New Roman" w:cs="Times New Roman"/>
                <w:i/>
                <w:color w:val="auto"/>
              </w:rPr>
              <w:t>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39F795C7" w14:textId="4FD0D9DE" w:rsidR="00EA2121" w:rsidRPr="004F33AE" w:rsidRDefault="00C5697A" w:rsidP="00EC292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5697A">
              <w:rPr>
                <w:rFonts w:ascii="Times New Roman" w:hAnsi="Times New Roman" w:cs="Times New Roman"/>
                <w:i/>
              </w:rPr>
              <w:t xml:space="preserve">Згідно з </w:t>
            </w:r>
            <w:r>
              <w:rPr>
                <w:rFonts w:ascii="Times New Roman" w:hAnsi="Times New Roman" w:cs="Times New Roman"/>
                <w:i/>
              </w:rPr>
              <w:t>листом</w:t>
            </w:r>
            <w:r w:rsidRPr="00C5697A">
              <w:rPr>
                <w:rFonts w:ascii="Times New Roman" w:hAnsi="Times New Roman" w:cs="Times New Roman"/>
                <w:i/>
              </w:rPr>
              <w:t xml:space="preserve"> Центрального МУ ДПС по роботі з ВПП         від </w:t>
            </w:r>
            <w:r>
              <w:rPr>
                <w:rFonts w:ascii="Times New Roman" w:hAnsi="Times New Roman" w:cs="Times New Roman"/>
                <w:i/>
              </w:rPr>
              <w:t>25</w:t>
            </w:r>
            <w:r w:rsidRPr="00C5697A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10</w:t>
            </w:r>
            <w:r w:rsidRPr="00C5697A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C5697A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2282/5/31-00-04-02-03-05</w:t>
            </w:r>
            <w:r w:rsidRPr="00C5697A">
              <w:rPr>
                <w:rFonts w:ascii="Times New Roman" w:hAnsi="Times New Roman" w:cs="Times New Roman"/>
                <w:i/>
              </w:rPr>
              <w:t xml:space="preserve"> станом на </w:t>
            </w:r>
            <w:r>
              <w:rPr>
                <w:rFonts w:ascii="Times New Roman" w:hAnsi="Times New Roman" w:cs="Times New Roman"/>
                <w:i/>
              </w:rPr>
              <w:t>24.10.2024 Товариством сплачена орендна плата в повному обсязі.</w:t>
            </w:r>
          </w:p>
        </w:tc>
      </w:tr>
      <w:tr w:rsidR="00FC7A92" w:rsidRPr="004F33AE" w14:paraId="4912F663" w14:textId="77777777" w:rsidTr="008D5D6E">
        <w:trPr>
          <w:cantSplit/>
          <w:trHeight w:val="1996"/>
        </w:trPr>
        <w:tc>
          <w:tcPr>
            <w:tcW w:w="2972" w:type="dxa"/>
          </w:tcPr>
          <w:p w14:paraId="171FC032" w14:textId="3F75AC97" w:rsidR="00FC7A92" w:rsidRPr="004F33AE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4F33AE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56B2DF09" w14:textId="77777777" w:rsidR="00C5697A" w:rsidRPr="00C5697A" w:rsidRDefault="00C5697A" w:rsidP="00C5697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5697A">
              <w:rPr>
                <w:rFonts w:ascii="Times New Roman" w:hAnsi="Times New Roman" w:cs="Times New Roman"/>
                <w:bCs/>
                <w:i/>
              </w:rPr>
              <w:t>Зазначаємо, що Департ</w:t>
            </w:r>
            <w:r w:rsidRPr="00C5697A">
              <w:rPr>
                <w:rFonts w:ascii="Times New Roman" w:hAnsi="Times New Roman" w:cs="Times New Roman"/>
                <w:bCs/>
                <w:i/>
                <w:iCs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 Закону 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2345EC" w14:textId="77777777" w:rsidR="00C5697A" w:rsidRPr="00C5697A" w:rsidRDefault="00C5697A" w:rsidP="00C5697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F3E268F" w14:textId="77777777" w:rsidR="00C5697A" w:rsidRPr="00C5697A" w:rsidRDefault="00C5697A" w:rsidP="00C5697A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5697A">
              <w:rPr>
                <w:rFonts w:ascii="Times New Roman" w:hAnsi="Times New Roman" w:cs="Times New Roman"/>
                <w:bCs/>
                <w:i/>
                <w:iCs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5E59FBC9" w14:textId="77777777" w:rsidR="00C5697A" w:rsidRPr="00C5697A" w:rsidRDefault="00C5697A" w:rsidP="00C5697A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81CEF3E" w14:textId="3D1D44EE" w:rsidR="00DE0E7B" w:rsidRPr="004F33AE" w:rsidRDefault="00C5697A" w:rsidP="00C5697A">
            <w:pPr>
              <w:jc w:val="both"/>
            </w:pPr>
            <w:r w:rsidRPr="00C5697A">
              <w:rPr>
                <w:rFonts w:ascii="Times New Roman" w:hAnsi="Times New Roman" w:cs="Times New Roman"/>
                <w:bCs/>
                <w:i/>
                <w:iCs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4F33AE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4F33AE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4F33AE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4F33AE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6FA0881D" w:rsidR="006A19DF" w:rsidRPr="004F33AE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Загальні засади та порядок поновлення договорів оренди земельних ділянок  визначено </w:t>
      </w:r>
      <w:r w:rsidR="00ED2761" w:rsidRPr="00ED2761">
        <w:rPr>
          <w:i w:val="0"/>
          <w:sz w:val="24"/>
          <w:szCs w:val="24"/>
        </w:rPr>
        <w:t>абзац</w:t>
      </w:r>
      <w:r w:rsidR="00ED2761">
        <w:rPr>
          <w:i w:val="0"/>
          <w:sz w:val="24"/>
          <w:szCs w:val="24"/>
        </w:rPr>
        <w:t>ом</w:t>
      </w:r>
      <w:r w:rsidR="00ED2761" w:rsidRPr="00ED2761">
        <w:rPr>
          <w:i w:val="0"/>
          <w:sz w:val="24"/>
          <w:szCs w:val="24"/>
        </w:rPr>
        <w:t xml:space="preserve"> четверт</w:t>
      </w:r>
      <w:r w:rsidR="00ED2761">
        <w:rPr>
          <w:i w:val="0"/>
          <w:sz w:val="24"/>
          <w:szCs w:val="24"/>
        </w:rPr>
        <w:t>им</w:t>
      </w:r>
      <w:r w:rsidR="00ED2761" w:rsidRPr="00ED2761">
        <w:rPr>
          <w:i w:val="0"/>
          <w:sz w:val="24"/>
          <w:szCs w:val="24"/>
        </w:rPr>
        <w:t xml:space="preserve"> розділу IX «Перехідні положення» Закону України «Про оренду землі»</w:t>
      </w:r>
      <w:r w:rsidRPr="004F33AE">
        <w:rPr>
          <w:i w:val="0"/>
          <w:sz w:val="24"/>
          <w:szCs w:val="24"/>
        </w:rPr>
        <w:t xml:space="preserve">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1DC5E8B5" w14:textId="77777777" w:rsidR="00731A77" w:rsidRPr="00EA3D48" w:rsidRDefault="00731A77" w:rsidP="00731A77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eastAsia="ru-RU" w:bidi="ar-SA"/>
        </w:rPr>
      </w:pPr>
      <w:r w:rsidRPr="00EA3D48">
        <w:rPr>
          <w:rFonts w:ascii="Times New Roman" w:eastAsia="Times New Roman" w:hAnsi="Times New Roman" w:cs="Times New Roman"/>
          <w:lang w:eastAsia="ru-RU" w:bidi="ar-SA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C7D19E1" w14:textId="77777777" w:rsidR="00731A77" w:rsidRPr="00EA3D48" w:rsidRDefault="00731A77" w:rsidP="00731A77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містить службової інформації у розумінні статті 6 Закону України «Про доступ до публічної інформації».</w:t>
      </w:r>
    </w:p>
    <w:p w14:paraId="7656BA6E" w14:textId="77777777" w:rsidR="00731A77" w:rsidRDefault="00731A77" w:rsidP="00731A77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t>Проєкт рішення не містить інформації</w:t>
      </w:r>
      <w:r w:rsidRPr="00EA3D48">
        <w:rPr>
          <w:rFonts w:ascii="Times New Roman" w:eastAsia="Times New Roman" w:hAnsi="Times New Roman" w:cs="Times New Roman"/>
          <w:lang w:val="ru-RU" w:eastAsia="ru-RU" w:bidi="ar-S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28C54B3" w14:textId="77777777" w:rsidR="00731A77" w:rsidRPr="00EA3D48" w:rsidRDefault="00731A77" w:rsidP="00731A77">
      <w:pPr>
        <w:widowControl/>
        <w:shd w:val="clear" w:color="auto" w:fill="FFFFFF"/>
        <w:ind w:firstLine="426"/>
        <w:jc w:val="both"/>
        <w:textAlignment w:val="baseline"/>
        <w:rPr>
          <w:rFonts w:ascii="Times New Roman" w:eastAsia="Times New Roman" w:hAnsi="Times New Roman" w:cs="Times New Roman"/>
          <w:lang w:val="ru-RU" w:eastAsia="ru-RU" w:bidi="ar-SA"/>
        </w:rPr>
      </w:pPr>
    </w:p>
    <w:p w14:paraId="3DE5E268" w14:textId="77777777" w:rsidR="006A19DF" w:rsidRPr="004F33AE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4F33AE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4F33AE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5CAEE38F" w:rsidR="006A19DF" w:rsidRPr="004F33A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4F33AE">
        <w:rPr>
          <w:i w:val="0"/>
          <w:sz w:val="24"/>
          <w:szCs w:val="24"/>
        </w:rPr>
        <w:t xml:space="preserve">                             </w:t>
      </w:r>
      <w:r w:rsidRPr="004F33AE">
        <w:rPr>
          <w:i w:val="0"/>
          <w:sz w:val="24"/>
          <w:szCs w:val="24"/>
        </w:rPr>
        <w:t xml:space="preserve"> </w:t>
      </w:r>
      <w:r w:rsidR="002F2D3F" w:rsidRPr="004F33AE">
        <w:rPr>
          <w:i w:val="0"/>
          <w:sz w:val="24"/>
          <w:szCs w:val="24"/>
        </w:rPr>
        <w:t xml:space="preserve">від </w:t>
      </w:r>
      <w:r w:rsidR="003F1E3E" w:rsidRPr="004F33A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4F33AE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Pr="004F33AE">
        <w:rPr>
          <w:b/>
          <w:sz w:val="24"/>
          <w:szCs w:val="24"/>
          <w:shd w:val="clear" w:color="auto" w:fill="FFFFFF"/>
        </w:rPr>
        <w:t xml:space="preserve"> </w:t>
      </w:r>
      <w:r w:rsidR="002E5843" w:rsidRPr="004F33AE">
        <w:rPr>
          <w:b/>
          <w:sz w:val="24"/>
          <w:szCs w:val="24"/>
          <w:shd w:val="clear" w:color="auto" w:fill="FFFFFF"/>
        </w:rPr>
        <w:t xml:space="preserve">276 295 </w:t>
      </w:r>
      <w:r w:rsidRPr="004F33AE">
        <w:rPr>
          <w:b/>
          <w:sz w:val="24"/>
          <w:szCs w:val="24"/>
          <w:shd w:val="clear" w:color="auto" w:fill="FFFFFF"/>
        </w:rPr>
        <w:t>грн</w:t>
      </w:r>
      <w:r w:rsidR="002E5843" w:rsidRPr="004F33AE">
        <w:rPr>
          <w:b/>
          <w:sz w:val="24"/>
          <w:szCs w:val="24"/>
          <w:shd w:val="clear" w:color="auto" w:fill="FFFFFF"/>
        </w:rPr>
        <w:t xml:space="preserve"> 85 коп. (3%)</w:t>
      </w:r>
      <w:r w:rsidR="00EC2928">
        <w:rPr>
          <w:b/>
          <w:sz w:val="24"/>
          <w:szCs w:val="24"/>
          <w:shd w:val="clear" w:color="auto" w:fill="FFFFFF"/>
        </w:rPr>
        <w:t xml:space="preserve"> на рік</w:t>
      </w:r>
      <w:r w:rsidR="002E5843" w:rsidRPr="004F33AE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4F33AE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4F33AE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4F33AE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2D6ED72D" w:rsidR="006A19DF" w:rsidRPr="004F33AE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4F33AE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 ділянкою</w:t>
      </w:r>
      <w:r w:rsidR="002E5843" w:rsidRPr="004F33AE">
        <w:rPr>
          <w:i w:val="0"/>
          <w:sz w:val="24"/>
          <w:szCs w:val="24"/>
        </w:rPr>
        <w:t>.</w:t>
      </w:r>
    </w:p>
    <w:p w14:paraId="7D9320DA" w14:textId="77777777" w:rsidR="00E8544C" w:rsidRPr="004F33AE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4F33AE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4F33AE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4F33AE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4F33A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4F33AE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4F33A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4F33A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4F33AE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4F33AE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4F33A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4F33A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4F33AE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4F33AE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4F33AE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4F33AE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4F33AE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4F33AE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2F1528C9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B358A5">
          <w:rPr>
            <w:i w:val="0"/>
            <w:sz w:val="12"/>
            <w:szCs w:val="12"/>
            <w:lang w:val="ru-RU"/>
          </w:rPr>
          <w:t>-57681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2FC6">
          <w:rPr>
            <w:i w:val="0"/>
            <w:sz w:val="12"/>
            <w:szCs w:val="12"/>
          </w:rPr>
          <w:t>15</w:t>
        </w:r>
        <w:r w:rsidR="00C5697A">
          <w:rPr>
            <w:i w:val="0"/>
            <w:sz w:val="12"/>
            <w:szCs w:val="12"/>
            <w:lang w:val="ru-RU"/>
          </w:rPr>
          <w:t>.1</w:t>
        </w:r>
        <w:r w:rsidR="00962FC6">
          <w:rPr>
            <w:i w:val="0"/>
            <w:sz w:val="12"/>
            <w:szCs w:val="12"/>
            <w:lang w:val="ru-RU"/>
          </w:rPr>
          <w:t>1</w:t>
        </w:r>
        <w:r w:rsidR="00C5697A">
          <w:rPr>
            <w:i w:val="0"/>
            <w:sz w:val="12"/>
            <w:szCs w:val="12"/>
            <w:lang w:val="ru-RU"/>
          </w:rPr>
          <w:t>.</w:t>
        </w:r>
        <w:r w:rsidR="009674CE" w:rsidRPr="00B358A5">
          <w:rPr>
            <w:i w:val="0"/>
            <w:sz w:val="12"/>
            <w:szCs w:val="12"/>
            <w:lang w:val="ru-RU"/>
          </w:rPr>
          <w:t>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B358A5">
          <w:rPr>
            <w:i w:val="0"/>
            <w:sz w:val="12"/>
            <w:szCs w:val="12"/>
            <w:lang w:val="ru-RU"/>
          </w:rPr>
          <w:t>591705195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2418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61CD4"/>
    <w:rsid w:val="0007432D"/>
    <w:rsid w:val="00076391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D0D1E"/>
    <w:rsid w:val="000E3D00"/>
    <w:rsid w:val="00101DAD"/>
    <w:rsid w:val="001121A7"/>
    <w:rsid w:val="00117719"/>
    <w:rsid w:val="001239A5"/>
    <w:rsid w:val="00123E08"/>
    <w:rsid w:val="0014618A"/>
    <w:rsid w:val="00150E3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9210B"/>
    <w:rsid w:val="00295B37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E5843"/>
    <w:rsid w:val="002F2D3F"/>
    <w:rsid w:val="00303CF1"/>
    <w:rsid w:val="00316BBB"/>
    <w:rsid w:val="00333098"/>
    <w:rsid w:val="0033417F"/>
    <w:rsid w:val="00343979"/>
    <w:rsid w:val="003525A6"/>
    <w:rsid w:val="0035749D"/>
    <w:rsid w:val="00366AF8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4C80"/>
    <w:rsid w:val="00402EB1"/>
    <w:rsid w:val="0040429C"/>
    <w:rsid w:val="00430CA4"/>
    <w:rsid w:val="004360F8"/>
    <w:rsid w:val="00452111"/>
    <w:rsid w:val="0045563D"/>
    <w:rsid w:val="00474616"/>
    <w:rsid w:val="0049406D"/>
    <w:rsid w:val="00495DE6"/>
    <w:rsid w:val="004A4541"/>
    <w:rsid w:val="004B05D1"/>
    <w:rsid w:val="004C4F16"/>
    <w:rsid w:val="004D4B3C"/>
    <w:rsid w:val="004D51B7"/>
    <w:rsid w:val="004F33AE"/>
    <w:rsid w:val="00501B43"/>
    <w:rsid w:val="00512B86"/>
    <w:rsid w:val="005156AF"/>
    <w:rsid w:val="0052074A"/>
    <w:rsid w:val="00531BB2"/>
    <w:rsid w:val="00532056"/>
    <w:rsid w:val="00533538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769B6"/>
    <w:rsid w:val="00591722"/>
    <w:rsid w:val="00596662"/>
    <w:rsid w:val="005A70F6"/>
    <w:rsid w:val="005B2FD0"/>
    <w:rsid w:val="005D67B3"/>
    <w:rsid w:val="005E272A"/>
    <w:rsid w:val="005E7630"/>
    <w:rsid w:val="00600046"/>
    <w:rsid w:val="00603291"/>
    <w:rsid w:val="00606B93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0088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231FE"/>
    <w:rsid w:val="00731A77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C2864"/>
    <w:rsid w:val="007E4B27"/>
    <w:rsid w:val="00800A09"/>
    <w:rsid w:val="008014F8"/>
    <w:rsid w:val="00803312"/>
    <w:rsid w:val="00814E16"/>
    <w:rsid w:val="00815498"/>
    <w:rsid w:val="008225D8"/>
    <w:rsid w:val="00823CCF"/>
    <w:rsid w:val="0082661F"/>
    <w:rsid w:val="0082662E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D5D6E"/>
    <w:rsid w:val="008E59A5"/>
    <w:rsid w:val="008F0B34"/>
    <w:rsid w:val="00905988"/>
    <w:rsid w:val="00907FF6"/>
    <w:rsid w:val="009115F4"/>
    <w:rsid w:val="0091277B"/>
    <w:rsid w:val="009131FA"/>
    <w:rsid w:val="00915DCB"/>
    <w:rsid w:val="00934E19"/>
    <w:rsid w:val="009358DE"/>
    <w:rsid w:val="00945106"/>
    <w:rsid w:val="00946AE1"/>
    <w:rsid w:val="009562D8"/>
    <w:rsid w:val="00962FC6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12C2"/>
    <w:rsid w:val="00AA7E2D"/>
    <w:rsid w:val="00AC2403"/>
    <w:rsid w:val="00AD4369"/>
    <w:rsid w:val="00AD6678"/>
    <w:rsid w:val="00AF175C"/>
    <w:rsid w:val="00B064DC"/>
    <w:rsid w:val="00B15D9C"/>
    <w:rsid w:val="00B174F4"/>
    <w:rsid w:val="00B17F43"/>
    <w:rsid w:val="00B2685F"/>
    <w:rsid w:val="00B312AA"/>
    <w:rsid w:val="00B34649"/>
    <w:rsid w:val="00B358A5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94199"/>
    <w:rsid w:val="00BA5124"/>
    <w:rsid w:val="00BB7EEE"/>
    <w:rsid w:val="00BF1120"/>
    <w:rsid w:val="00C05AAC"/>
    <w:rsid w:val="00C241ED"/>
    <w:rsid w:val="00C37422"/>
    <w:rsid w:val="00C414E0"/>
    <w:rsid w:val="00C50743"/>
    <w:rsid w:val="00C55118"/>
    <w:rsid w:val="00C5697A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8544C"/>
    <w:rsid w:val="00E94376"/>
    <w:rsid w:val="00EA1AC5"/>
    <w:rsid w:val="00EA2121"/>
    <w:rsid w:val="00EA42C9"/>
    <w:rsid w:val="00EB297C"/>
    <w:rsid w:val="00EC0B76"/>
    <w:rsid w:val="00EC2928"/>
    <w:rsid w:val="00EC765B"/>
    <w:rsid w:val="00ED2761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36CCD"/>
    <w:rsid w:val="00F433A9"/>
    <w:rsid w:val="00F4426A"/>
    <w:rsid w:val="00F617F5"/>
    <w:rsid w:val="00F620DD"/>
    <w:rsid w:val="00F62C48"/>
    <w:rsid w:val="00F6372D"/>
    <w:rsid w:val="00F832B9"/>
    <w:rsid w:val="00F923B4"/>
    <w:rsid w:val="00FB06DC"/>
    <w:rsid w:val="00FB154C"/>
    <w:rsid w:val="00FB4E7A"/>
    <w:rsid w:val="00FB5334"/>
    <w:rsid w:val="00FB53AB"/>
    <w:rsid w:val="00FB6120"/>
    <w:rsid w:val="00FB754A"/>
    <w:rsid w:val="00FC32B6"/>
    <w:rsid w:val="00FC7A92"/>
    <w:rsid w:val="00FD49CC"/>
    <w:rsid w:val="00FD52FE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 рішенням</vt:lpstr>
    </vt:vector>
  </TitlesOfParts>
  <Manager>Відділ з питань орендних відносин</Manager>
  <Company>ДЕПАРТАМЕНТ ЗЕМЕЛЬНИХ РЕСУРСІВ</Company>
  <LinksUpToDate>false</LinksUpToDate>
  <CharactersWithSpaces>7453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Тюлькова Анастасія Ігорівна</cp:lastModifiedBy>
  <cp:revision>5</cp:revision>
  <cp:lastPrinted>2024-11-18T08:23:00Z</cp:lastPrinted>
  <dcterms:created xsi:type="dcterms:W3CDTF">2024-10-30T09:52:00Z</dcterms:created>
  <dcterms:modified xsi:type="dcterms:W3CDTF">2024-11-29T13:21:00Z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2024-06-24T12:27:42Z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6366e24d-f8f9-495f-ab9f-4c03aa97fd37</vt:lpwstr>
  </property>
  <property fmtid="{D5CDD505-2E9C-101B-9397-08002B2CF9AE}" pid="8" name="MSIP_Label_defa4170-0d19-0005-0004-bc88714345d2_ContentBits">
    <vt:lpwstr>0</vt:lpwstr>
  </property>
</Properties>
</file>