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0F244" w14:textId="77777777"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1E847E0" wp14:editId="571A35D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5B1CB4" w14:textId="77777777" w:rsidR="001B302E" w:rsidRPr="00F6318B" w:rsidRDefault="001B302E" w:rsidP="001B302E">
      <w:pPr>
        <w:pStyle w:val="a5"/>
        <w:tabs>
          <w:tab w:val="left" w:pos="708"/>
        </w:tabs>
      </w:pPr>
    </w:p>
    <w:p w14:paraId="036904EE" w14:textId="77777777"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6EEEC246" w14:textId="77777777"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89FF0E3" w14:textId="77777777"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0AE91F3E" w14:textId="77777777"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2C603AC8" w14:textId="77777777"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904E4D" wp14:editId="7218A79A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14:paraId="02BBD969" w14:textId="77777777"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14:paraId="7B9040F2" w14:textId="77777777"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E2B1A9" wp14:editId="31C67DD5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8882" w14:textId="77777777"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2B1A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 stroked="f">
                <v:textbox style="mso-fit-shape-to-text:t">
                  <w:txbxContent>
                    <w:p w14:paraId="0C4F8882" w14:textId="77777777" w:rsidR="001B302E" w:rsidRPr="009C004B" w:rsidRDefault="001B302E" w:rsidP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6F009E" w14:paraId="0EEAA314" w14:textId="77777777" w:rsidTr="00802099">
        <w:trPr>
          <w:trHeight w:val="1190"/>
        </w:trPr>
        <w:tc>
          <w:tcPr>
            <w:tcW w:w="4771" w:type="dxa"/>
            <w:hideMark/>
          </w:tcPr>
          <w:p w14:paraId="68187FC5" w14:textId="127CAD62" w:rsidR="001B302E" w:rsidRPr="0037599F" w:rsidRDefault="003A1069" w:rsidP="008E0D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  <w:r w:rsidR="008E0DE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8E0DE2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визначення переліку земельних ділянок </w:t>
            </w:r>
            <w:r w:rsidR="008E0DE2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</w:t>
            </w:r>
            <w:r w:rsidR="008E0DE2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для опрацювання можливості продажу їх (або права оренди на них) на земельних торгах</w:t>
            </w:r>
            <w:r w:rsidR="008E0DE2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14:paraId="5A7EE911" w14:textId="20A1E38A" w:rsidR="001B302E" w:rsidRDefault="008E0DE2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26D61B43" wp14:editId="45A158DC">
                <wp:simplePos x="0" y="0"/>
                <wp:positionH relativeFrom="margin">
                  <wp:align>right</wp:align>
                </wp:positionH>
                <wp:positionV relativeFrom="paragraph">
                  <wp:posOffset>1308693</wp:posOffset>
                </wp:positionV>
                <wp:extent cx="1647825" cy="247338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473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3BA10" w14:textId="77777777"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566853528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1B43" id="Shape 3" o:spid="_x0000_s1027" type="#_x0000_t202" style="position:absolute;left:0;text-align:left;margin-left:78.55pt;margin-top:103.05pt;width:129.75pt;height:19.5pt;z-index:-251652096;visibility:visible;mso-wrap-style:square;mso-width-percent:0;mso-height-percent:0;mso-wrap-distance-left:21.65pt;mso-wrap-distance-top:10.55pt;mso-wrap-distance-right:23.85pt;mso-wrap-distance-bottom:30.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" filled="f" stroked="f">
                <v:textbox inset="0,0,0,0">
                  <w:txbxContent>
                    <w:p w14:paraId="17D3BA10" w14:textId="77777777" w:rsidR="007A3146" w:rsidRPr="00E83898" w:rsidRDefault="007A3146" w:rsidP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566853528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02E">
        <w:rPr>
          <w:bCs/>
          <w:lang w:val="uk-UA"/>
        </w:rPr>
        <w:br w:type="textWrapping" w:clear="all"/>
      </w:r>
    </w:p>
    <w:p w14:paraId="51C010DC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762B1D46" w14:textId="20423566" w:rsidR="003A1069" w:rsidRPr="0078049C" w:rsidRDefault="003A1069" w:rsidP="003A1069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</w:t>
      </w:r>
      <w:r w:rsidR="008E0DE2" w:rsidRPr="008E0DE2">
        <w:rPr>
          <w:rStyle w:val="normaltextrun"/>
          <w:rFonts w:ascii="Times New Roman" w:hAnsi="Times New Roman" w:cs="Times New Roman"/>
          <w:b w:val="0"/>
          <w:i w:val="0"/>
          <w:color w:val="000000"/>
          <w:bdr w:val="none" w:sz="0" w:space="0" w:color="auto" w:frame="1"/>
          <w:lang w:val="uk-UA"/>
        </w:rPr>
        <w:t>127, 134-136,</w:t>
      </w:r>
      <w:r w:rsidR="008E0DE2">
        <w:rPr>
          <w:rStyle w:val="normaltextrun"/>
          <w:rFonts w:ascii="Times New Roman" w:hAnsi="Times New Roman" w:cs="Times New Roman"/>
          <w:b w:val="0"/>
          <w:i w:val="0"/>
          <w:color w:val="000000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="008E0DE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                       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14:paraId="6F0F0C40" w14:textId="77777777" w:rsidR="003A1069" w:rsidRPr="00A571BC" w:rsidRDefault="003A1069" w:rsidP="003A1069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14:paraId="2F55DCFA" w14:textId="77777777" w:rsidR="003A1069" w:rsidRPr="00827DF8" w:rsidRDefault="003A1069" w:rsidP="003A1069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14:paraId="0C0B21B0" w14:textId="77777777" w:rsidR="003A1069" w:rsidRPr="00E87442" w:rsidRDefault="003A1069" w:rsidP="003A1069">
      <w:pPr>
        <w:ind w:firstLine="709"/>
        <w:jc w:val="both"/>
        <w:rPr>
          <w:sz w:val="28"/>
          <w:szCs w:val="28"/>
          <w:lang w:val="uk-UA"/>
        </w:rPr>
      </w:pPr>
    </w:p>
    <w:p w14:paraId="1DCF162C" w14:textId="390534D1" w:rsidR="001B302E" w:rsidRDefault="003A1069" w:rsidP="003A1069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 xml:space="preserve">віднести </w:t>
      </w:r>
      <w:r w:rsidRPr="00C35D93">
        <w:rPr>
          <w:szCs w:val="28"/>
          <w:lang w:val="uk-UA"/>
        </w:rPr>
        <w:t>земельні ділянки до відповідної категорії земель, виду цільового призначення земельних ділянок згідно з додатком</w:t>
      </w:r>
      <w:r w:rsidR="008E0DE2">
        <w:rPr>
          <w:szCs w:val="28"/>
          <w:lang w:val="uk-UA"/>
        </w:rPr>
        <w:t xml:space="preserve"> 1</w:t>
      </w:r>
      <w:r w:rsidRPr="00C35D93">
        <w:rPr>
          <w:szCs w:val="28"/>
          <w:lang w:val="uk-UA"/>
        </w:rPr>
        <w:t xml:space="preserve"> до цього рішення</w:t>
      </w:r>
      <w:r w:rsidR="00455725">
        <w:rPr>
          <w:lang w:val="uk-UA"/>
        </w:rPr>
        <w:t xml:space="preserve"> (справа № </w:t>
      </w:r>
      <w:r w:rsidR="00455725" w:rsidRPr="001D1682">
        <w:rPr>
          <w:bCs/>
          <w:szCs w:val="28"/>
          <w:lang w:val="uk-UA"/>
        </w:rPr>
        <w:t>566853528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14:paraId="29A8C6A9" w14:textId="553DFDC4" w:rsidR="003A1069" w:rsidRPr="001C42AA" w:rsidRDefault="003A1069" w:rsidP="008E0DE2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1C42AA">
        <w:rPr>
          <w:lang w:val="uk-UA"/>
        </w:rPr>
        <w:t xml:space="preserve">земельні ділянки згідно з додатком </w:t>
      </w:r>
      <w:r w:rsidR="008E0DE2">
        <w:rPr>
          <w:lang w:val="uk-UA"/>
        </w:rPr>
        <w:t xml:space="preserve">1 </w:t>
      </w:r>
      <w:r w:rsidRPr="001C42AA">
        <w:rPr>
          <w:lang w:val="uk-UA"/>
        </w:rPr>
        <w:t>до цього рішення у порядку, встановленому Законом України «Про державну реєстрацію речових прав на нерухоме майно та їх обтяжень».</w:t>
      </w:r>
    </w:p>
    <w:p w14:paraId="3F5E4954" w14:textId="0559983B" w:rsidR="00A6166F" w:rsidRPr="00A6166F" w:rsidRDefault="00A6166F" w:rsidP="008E0DE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 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Визначити перелік земельних ділянок для опрацювання можливості продажу їх на земельних торгах згідно з додатком </w:t>
      </w: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 цього рішення. </w:t>
      </w:r>
    </w:p>
    <w:p w14:paraId="1F2FFF2C" w14:textId="7B4FFB3E" w:rsidR="00A6166F" w:rsidRPr="001C42AA" w:rsidRDefault="008E0DE2" w:rsidP="008E0DE2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4. </w:t>
      </w:r>
      <w:r w:rsidR="00A6166F" w:rsidRPr="001C42AA">
        <w:rPr>
          <w:color w:val="000000"/>
          <w:sz w:val="28"/>
          <w:szCs w:val="28"/>
          <w:bdr w:val="none" w:sz="0" w:space="0" w:color="auto" w:frame="1"/>
          <w:lang w:val="uk-UA"/>
        </w:rPr>
        <w:t>Надати Департаменту земельних ресурсів виконавчого органу Київської міської ради (Київської міської державної адміністрації) дозвіл на: </w:t>
      </w:r>
    </w:p>
    <w:p w14:paraId="0F5D04CB" w14:textId="676BFEF9" w:rsidR="00A6166F" w:rsidRPr="00A6166F" w:rsidRDefault="00A6166F" w:rsidP="008E0DE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>.1</w:t>
      </w:r>
      <w:r w:rsidR="008E0DE2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Опрацювання визначених у пункті </w:t>
      </w:r>
      <w:r w:rsidR="001C42AA" w:rsidRPr="001C42AA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цього рішення земельних ділянок, які можуть бути виставлені на земельні торги. </w:t>
      </w:r>
    </w:p>
    <w:p w14:paraId="7E8D8FFF" w14:textId="6FFD3CB2" w:rsidR="00A6166F" w:rsidRPr="00A6166F" w:rsidRDefault="00A6166F" w:rsidP="008E0DE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>.2</w:t>
      </w:r>
      <w:r w:rsidR="008E0DE2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Розроблення документації, передбаченої законодавством України, необхідної для підготовки до продажу лотів, визначених у пункті </w:t>
      </w:r>
      <w:r w:rsidR="001C42AA" w:rsidRPr="001C42AA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цього рішення. </w:t>
      </w:r>
    </w:p>
    <w:p w14:paraId="17DA28F1" w14:textId="610E69F4" w:rsidR="00A6166F" w:rsidRPr="00A6166F" w:rsidRDefault="00A6166F" w:rsidP="008E0DE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>.3</w:t>
      </w:r>
      <w:r w:rsidR="008E0DE2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Проведення експертної грошової оцінки земельних ділянок, визначених у пункті </w:t>
      </w: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A616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цього рішення. </w:t>
      </w:r>
    </w:p>
    <w:p w14:paraId="27617068" w14:textId="27F95503" w:rsidR="00A6166F" w:rsidRPr="001C42AA" w:rsidRDefault="00A6166F" w:rsidP="008E0DE2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 Департаменту містобудування та архітектури виконавчого органу Київської міської ради (Київської міської державної адміністрації) забезпечити надання Департаменту земельних ресурсів виконавчого органу Київської міської ради (Київської міської державної адміністрації) містобудівних умов і обмежень забудови земельних ділянок, визначених у пункті </w:t>
      </w:r>
      <w:r w:rsidR="00B0078D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1C42A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цього рішення. </w:t>
      </w:r>
    </w:p>
    <w:p w14:paraId="4ADA170A" w14:textId="2D837DF7" w:rsidR="003A1069" w:rsidRPr="001C42AA" w:rsidRDefault="00A6166F" w:rsidP="008E0DE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1C42AA">
        <w:rPr>
          <w:snapToGrid w:val="0"/>
          <w:sz w:val="28"/>
          <w:lang w:val="uk-UA"/>
        </w:rPr>
        <w:t>6</w:t>
      </w:r>
      <w:r w:rsidR="003A1069" w:rsidRPr="001C42AA">
        <w:rPr>
          <w:snapToGrid w:val="0"/>
          <w:sz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2BB2A5B6" w14:textId="77777777" w:rsidR="003A1069" w:rsidRDefault="003A1069" w:rsidP="003A1069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7F8C111A" w14:textId="77777777" w:rsidR="003A1069" w:rsidRDefault="003A1069" w:rsidP="003A1069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3A1069" w14:paraId="3DB098CB" w14:textId="77777777" w:rsidTr="00CC30C2">
        <w:tc>
          <w:tcPr>
            <w:tcW w:w="5083" w:type="dxa"/>
          </w:tcPr>
          <w:p w14:paraId="3B79186B" w14:textId="77777777" w:rsidR="003A1069" w:rsidRDefault="003A1069" w:rsidP="00CC30C2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14:paraId="2FAA9205" w14:textId="77777777" w:rsidR="003A1069" w:rsidRDefault="003A1069" w:rsidP="00CC30C2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AE26875" w14:textId="77777777" w:rsidR="003A1069" w:rsidRPr="00124B8C" w:rsidRDefault="003A1069" w:rsidP="003A1069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1ACE19A3" w14:textId="77777777" w:rsidR="003A1069" w:rsidRDefault="003A1069" w:rsidP="003A1069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6FBA407A" w14:textId="77777777" w:rsidR="003A1069" w:rsidRDefault="003A1069" w:rsidP="003A1069">
      <w:pPr>
        <w:jc w:val="both"/>
        <w:rPr>
          <w:bCs/>
          <w:color w:val="000000"/>
          <w:sz w:val="28"/>
          <w:szCs w:val="28"/>
          <w:lang w:val="uk-UA" w:eastAsia="uk-UA"/>
        </w:rPr>
        <w:sectPr w:rsidR="003A1069" w:rsidSect="00A6166F">
          <w:pgSz w:w="11906" w:h="16838"/>
          <w:pgMar w:top="1276" w:right="595" w:bottom="1560" w:left="1701" w:header="720" w:footer="720" w:gutter="0"/>
          <w:cols w:space="720"/>
        </w:sectPr>
      </w:pPr>
    </w:p>
    <w:p w14:paraId="57488659" w14:textId="77777777" w:rsidR="003A1069" w:rsidRDefault="003A1069" w:rsidP="003A1069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14:paraId="1456F241" w14:textId="77777777" w:rsidR="003A1069" w:rsidRDefault="003A1069" w:rsidP="003A1069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6986CFF" w14:textId="77777777" w:rsidR="003A1069" w:rsidRDefault="003A1069" w:rsidP="003A1069">
      <w:pPr>
        <w:ind w:left="284" w:hanging="142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009A541F" w14:textId="77777777" w:rsidR="003A1069" w:rsidRDefault="003A1069" w:rsidP="003A1069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980"/>
      </w:tblGrid>
      <w:tr w:rsidR="003A1069" w14:paraId="061E8AF6" w14:textId="77777777" w:rsidTr="00CC30C2">
        <w:tc>
          <w:tcPr>
            <w:tcW w:w="5812" w:type="dxa"/>
          </w:tcPr>
          <w:p w14:paraId="3B99E8CD" w14:textId="77777777" w:rsidR="003A1069" w:rsidRDefault="003A1069" w:rsidP="00CC30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A84DB84" w14:textId="77777777" w:rsidR="003A1069" w:rsidRDefault="003A1069" w:rsidP="00CC30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5E60A20" w14:textId="77777777" w:rsidR="003A1069" w:rsidRDefault="003A1069" w:rsidP="00CC30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111" w:type="dxa"/>
            <w:gridSpan w:val="2"/>
          </w:tcPr>
          <w:p w14:paraId="151F7027" w14:textId="77777777" w:rsidR="003A1069" w:rsidRDefault="003A1069" w:rsidP="00CC30C2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21E4BD3" w14:textId="77777777" w:rsidR="003A1069" w:rsidRDefault="003A1069" w:rsidP="00CC30C2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F4FDEAF" w14:textId="77777777" w:rsidR="003A1069" w:rsidRPr="00E83898" w:rsidRDefault="003A1069" w:rsidP="00CC30C2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3A1069" w14:paraId="31F096AE" w14:textId="77777777" w:rsidTr="00CC30C2">
        <w:tc>
          <w:tcPr>
            <w:tcW w:w="5812" w:type="dxa"/>
          </w:tcPr>
          <w:p w14:paraId="5CC5B95C" w14:textId="77777777" w:rsidR="003A1069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864EEE4" w14:textId="77777777" w:rsidR="003A1069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432D6CF5" w14:textId="77777777" w:rsidR="003A1069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0B9BB76" w14:textId="77777777" w:rsidR="003A1069" w:rsidRDefault="003A1069" w:rsidP="00CC30C2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111" w:type="dxa"/>
            <w:gridSpan w:val="2"/>
          </w:tcPr>
          <w:p w14:paraId="30596A25" w14:textId="77777777" w:rsidR="003A1069" w:rsidRPr="00BA31A0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7149E3D5" w14:textId="77777777" w:rsidR="003A1069" w:rsidRPr="00BA31A0" w:rsidRDefault="003A1069" w:rsidP="00CC30C2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AB64CC7" w14:textId="77777777" w:rsidR="003A1069" w:rsidRPr="00BA31A0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7EAC456E" w14:textId="77777777" w:rsidR="003A1069" w:rsidRPr="00E83898" w:rsidRDefault="003A1069" w:rsidP="00CC30C2">
            <w:pPr>
              <w:ind w:right="112"/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3A1069" w:rsidRPr="00F6609B" w14:paraId="716F7AE8" w14:textId="77777777" w:rsidTr="00CC30C2">
        <w:tc>
          <w:tcPr>
            <w:tcW w:w="5943" w:type="dxa"/>
            <w:gridSpan w:val="2"/>
          </w:tcPr>
          <w:p w14:paraId="75D165A7" w14:textId="77777777" w:rsidR="003A1069" w:rsidRPr="00F6609B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35ACB4" w14:textId="77777777" w:rsidR="003A1069" w:rsidRPr="00F6609B" w:rsidRDefault="003A1069" w:rsidP="00CC30C2">
            <w:pPr>
              <w:spacing w:line="256" w:lineRule="auto"/>
              <w:ind w:left="-104" w:right="112" w:firstLine="104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F2F6B1B" w14:textId="77777777" w:rsidR="003A1069" w:rsidRPr="00F6609B" w:rsidRDefault="003A1069" w:rsidP="00CC30C2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92CAC13" w14:textId="77777777" w:rsidR="003A1069" w:rsidRPr="00F6609B" w:rsidRDefault="003A1069" w:rsidP="00CC30C2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1D21066" w14:textId="77777777" w:rsidR="003A1069" w:rsidRPr="00F6609B" w:rsidRDefault="003A1069" w:rsidP="00CC30C2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80" w:type="dxa"/>
          </w:tcPr>
          <w:p w14:paraId="62CBD512" w14:textId="77777777" w:rsidR="003A1069" w:rsidRPr="00F6609B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0BA0056" w14:textId="77777777" w:rsidR="003A1069" w:rsidRPr="00F6609B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AABB331" w14:textId="77777777" w:rsidR="003A1069" w:rsidRPr="00F6609B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806315F" w14:textId="77777777" w:rsidR="003A1069" w:rsidRPr="00F6609B" w:rsidRDefault="003A1069" w:rsidP="00CC30C2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14:paraId="50A0E9CB" w14:textId="77777777" w:rsidR="003A1069" w:rsidRPr="00F6609B" w:rsidRDefault="003A1069" w:rsidP="00CC30C2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14:paraId="4835FA3F" w14:textId="77777777" w:rsidR="003A1069" w:rsidRPr="00F6609B" w:rsidRDefault="003A1069" w:rsidP="00CC30C2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14:paraId="59CE1322" w14:textId="77777777" w:rsidR="003A1069" w:rsidRPr="007A06AE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51C0EDCC" w14:textId="77777777" w:rsidR="003A1069" w:rsidRPr="00F6609B" w:rsidRDefault="003A1069" w:rsidP="00CC30C2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14:paraId="5CCB0147" w14:textId="77777777" w:rsidR="003A1069" w:rsidRDefault="003A1069" w:rsidP="003A1069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14:paraId="72FCE951" w14:textId="77777777" w:rsidR="003A1069" w:rsidRDefault="003A1069" w:rsidP="003A1069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14:paraId="6B8FB12C" w14:textId="77777777" w:rsidR="003A1069" w:rsidRPr="008C630E" w:rsidRDefault="003A1069" w:rsidP="003A1069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14:paraId="028CE2CB" w14:textId="77777777" w:rsidR="003A1069" w:rsidRDefault="003A1069" w:rsidP="003A1069">
      <w:pPr>
        <w:ind w:right="112" w:firstLine="142"/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14:paraId="71E53852" w14:textId="77777777" w:rsidR="003A1069" w:rsidRPr="008C630E" w:rsidRDefault="003A1069" w:rsidP="003A1069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3A1069" w14:paraId="234C070B" w14:textId="77777777" w:rsidTr="00CC30C2">
        <w:tc>
          <w:tcPr>
            <w:tcW w:w="5245" w:type="dxa"/>
          </w:tcPr>
          <w:p w14:paraId="01AE92F0" w14:textId="77777777" w:rsidR="003A1069" w:rsidRPr="008C630E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147B005" w14:textId="77777777" w:rsidR="003A1069" w:rsidRPr="008C630E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snapToGrid w:val="0"/>
                <w:sz w:val="28"/>
                <w:lang w:val="uk-UA"/>
              </w:rPr>
              <w:t>містоплану</w:t>
            </w:r>
            <w:r w:rsidRPr="001556D8">
              <w:rPr>
                <w:snapToGrid w:val="0"/>
                <w:sz w:val="28"/>
                <w:lang w:val="uk-UA"/>
              </w:rPr>
              <w:t>вання</w:t>
            </w:r>
          </w:p>
          <w:p w14:paraId="56387773" w14:textId="77777777" w:rsidR="003A1069" w:rsidRPr="008C630E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4F4B5A22" w14:textId="77777777" w:rsidR="003A1069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</w:tcPr>
          <w:p w14:paraId="18CD9EA6" w14:textId="77777777" w:rsidR="003A1069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A1069" w14:paraId="6968D065" w14:textId="77777777" w:rsidTr="00CC30C2">
        <w:tc>
          <w:tcPr>
            <w:tcW w:w="5245" w:type="dxa"/>
          </w:tcPr>
          <w:p w14:paraId="36B70870" w14:textId="77777777" w:rsidR="003A1069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8" w:type="dxa"/>
          </w:tcPr>
          <w:p w14:paraId="26CB898E" w14:textId="77777777" w:rsidR="003A1069" w:rsidRPr="00E83898" w:rsidRDefault="003A1069" w:rsidP="00CC30C2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3A1069" w14:paraId="109FC730" w14:textId="77777777" w:rsidTr="00CC30C2">
        <w:tc>
          <w:tcPr>
            <w:tcW w:w="5245" w:type="dxa"/>
          </w:tcPr>
          <w:p w14:paraId="750F9B4A" w14:textId="77777777" w:rsidR="003A1069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2C55599" w14:textId="77777777" w:rsidR="003A1069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8" w:type="dxa"/>
          </w:tcPr>
          <w:p w14:paraId="1771C832" w14:textId="77777777" w:rsidR="003A1069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0319D227" w14:textId="77777777" w:rsidR="003A1069" w:rsidRPr="00E83898" w:rsidRDefault="003A1069" w:rsidP="00CC30C2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Юрій ФЕДОРЕНКО</w:t>
            </w:r>
          </w:p>
        </w:tc>
      </w:tr>
      <w:tr w:rsidR="003A1069" w14:paraId="0E5B4AEB" w14:textId="77777777" w:rsidTr="00CC30C2">
        <w:tc>
          <w:tcPr>
            <w:tcW w:w="5245" w:type="dxa"/>
          </w:tcPr>
          <w:p w14:paraId="5CA92593" w14:textId="77777777" w:rsidR="003A1069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135E87" w14:textId="77777777" w:rsidR="003A1069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1E50FC" w14:textId="77777777" w:rsidR="003A1069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015BB9F" w14:textId="77777777" w:rsidR="003A1069" w:rsidRDefault="003A1069" w:rsidP="00CC30C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CBA811" w14:textId="77777777" w:rsidR="003A1069" w:rsidRDefault="003A1069" w:rsidP="00CC30C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78" w:type="dxa"/>
          </w:tcPr>
          <w:p w14:paraId="4BFB5DD4" w14:textId="77777777" w:rsidR="003A1069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054B7D10" w14:textId="77777777" w:rsidR="003A1069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3C0989A2" w14:textId="77777777" w:rsidR="003A1069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54F1D5E1" w14:textId="77777777" w:rsidR="003A1069" w:rsidRDefault="003A1069" w:rsidP="00CC30C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5CA70442" w14:textId="77777777" w:rsidR="003A1069" w:rsidRPr="00E83898" w:rsidRDefault="003A1069" w:rsidP="00CC30C2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57F0F4B2" w14:textId="4E68DC5D" w:rsidR="001B302E" w:rsidRDefault="000C10FD" w:rsidP="000C10FD">
      <w:pPr>
        <w:rPr>
          <w:szCs w:val="28"/>
          <w:lang w:val="uk-UA" w:eastAsia="uk-UA"/>
        </w:rPr>
      </w:pPr>
      <w:bookmarkStart w:id="0" w:name="_GoBack"/>
      <w:bookmarkEnd w:id="0"/>
      <w:r>
        <w:rPr>
          <w:szCs w:val="28"/>
          <w:lang w:val="uk-UA" w:eastAsia="uk-UA"/>
        </w:rPr>
        <w:t xml:space="preserve"> </w:t>
      </w:r>
    </w:p>
    <w:sectPr w:rsidR="001B302E" w:rsidSect="008E0DE2">
      <w:pgSz w:w="11906" w:h="16838"/>
      <w:pgMar w:top="851" w:right="595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2DC3"/>
    <w:multiLevelType w:val="multilevel"/>
    <w:tmpl w:val="AECC35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530810F1"/>
    <w:multiLevelType w:val="hybridMultilevel"/>
    <w:tmpl w:val="CA50F68E"/>
    <w:lvl w:ilvl="0" w:tplc="4B2EA8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0FD"/>
    <w:rsid w:val="000C1ED1"/>
    <w:rsid w:val="001107F0"/>
    <w:rsid w:val="001817A8"/>
    <w:rsid w:val="001B302E"/>
    <w:rsid w:val="001C42AA"/>
    <w:rsid w:val="001D1682"/>
    <w:rsid w:val="002E35C7"/>
    <w:rsid w:val="002E4B44"/>
    <w:rsid w:val="00372257"/>
    <w:rsid w:val="003A1069"/>
    <w:rsid w:val="003F6162"/>
    <w:rsid w:val="004041D5"/>
    <w:rsid w:val="00431970"/>
    <w:rsid w:val="00455725"/>
    <w:rsid w:val="00487CFB"/>
    <w:rsid w:val="004A0FDB"/>
    <w:rsid w:val="004C7992"/>
    <w:rsid w:val="00595D50"/>
    <w:rsid w:val="005A5759"/>
    <w:rsid w:val="00625F6B"/>
    <w:rsid w:val="006F009E"/>
    <w:rsid w:val="00722410"/>
    <w:rsid w:val="007A3146"/>
    <w:rsid w:val="008C5E20"/>
    <w:rsid w:val="008E0DE2"/>
    <w:rsid w:val="0091773D"/>
    <w:rsid w:val="00A05312"/>
    <w:rsid w:val="00A6166F"/>
    <w:rsid w:val="00B0078D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  <w:rsid w:val="00F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ADE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A6166F"/>
    <w:pPr>
      <w:ind w:left="720"/>
      <w:contextualSpacing/>
    </w:pPr>
  </w:style>
  <w:style w:type="character" w:customStyle="1" w:styleId="normaltextrun">
    <w:name w:val="normaltextrun"/>
    <w:basedOn w:val="a0"/>
    <w:rsid w:val="008E0DE2"/>
  </w:style>
  <w:style w:type="character" w:customStyle="1" w:styleId="eop">
    <w:name w:val="eop"/>
    <w:basedOn w:val="a0"/>
    <w:rsid w:val="008E0DE2"/>
  </w:style>
  <w:style w:type="paragraph" w:customStyle="1" w:styleId="paragraph">
    <w:name w:val="paragraph"/>
    <w:basedOn w:val="a"/>
    <w:rsid w:val="008E0DE2"/>
    <w:pPr>
      <w:spacing w:before="100" w:beforeAutospacing="1" w:after="100" w:afterAutospacing="1"/>
    </w:pPr>
    <w:rPr>
      <w:sz w:val="24"/>
      <w:szCs w:val="24"/>
    </w:rPr>
  </w:style>
  <w:style w:type="character" w:customStyle="1" w:styleId="scxw48161419">
    <w:name w:val="scxw48161419"/>
    <w:basedOn w:val="a0"/>
    <w:rsid w:val="008E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olena.sizon\Documents\GitLab\depzemres\src\DepZemResApp\DocTemplate\request_qr_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720C-C5F9-4F6D-BBF8-D24AA44D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3876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user.kmr</cp:lastModifiedBy>
  <cp:revision>46</cp:revision>
  <cp:lastPrinted>2023-11-21T06:40:00Z</cp:lastPrinted>
  <dcterms:created xsi:type="dcterms:W3CDTF">2020-12-18T15:50:00Z</dcterms:created>
  <dcterms:modified xsi:type="dcterms:W3CDTF">2023-11-23T11:07:00Z</dcterms:modified>
</cp:coreProperties>
</file>