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560044531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560044531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</w:tblGrid>
      <w:tr w:rsidR="00DE4A20" w:rsidRPr="00B42AC5" w14:paraId="39883B9B" w14:textId="77777777" w:rsidTr="00B42AC5">
        <w:trPr>
          <w:trHeight w:val="2500"/>
        </w:trPr>
        <w:tc>
          <w:tcPr>
            <w:tcW w:w="5529" w:type="dxa"/>
            <w:hideMark/>
          </w:tcPr>
          <w:p w14:paraId="0B182D23" w14:textId="0D70B608" w:rsidR="00F6318B" w:rsidRPr="00DE4A20" w:rsidRDefault="00B42AC5" w:rsidP="00B42AC5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42AC5">
              <w:rPr>
                <w:b/>
                <w:color w:val="000000" w:themeColor="text1"/>
                <w:sz w:val="28"/>
                <w:szCs w:val="28"/>
              </w:rPr>
              <w:t>Про надання Київському комунальному об’єднанню зеленого будівництва та експлуатації зелених насаджень міста «Київзеленбуд» земельної ділянки у</w:t>
            </w:r>
            <w:r w:rsidRPr="00B42AC5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42AC5">
              <w:rPr>
                <w:b/>
                <w:iCs/>
                <w:color w:val="000000" w:themeColor="text1"/>
                <w:sz w:val="28"/>
                <w:szCs w:val="28"/>
              </w:rPr>
              <w:t>постійне користування</w:t>
            </w:r>
            <w:r w:rsidRPr="00B42A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для утримання та благоустрою зелених зон і зелених насаджень та обслуговування озелененої території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B42AC5">
              <w:rPr>
                <w:b/>
                <w:color w:val="000000" w:themeColor="text1"/>
                <w:sz w:val="28"/>
                <w:szCs w:val="28"/>
              </w:rPr>
              <w:t>вул. Мечнікова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Печерському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2E7AF2C2" w:rsidR="00F6318B" w:rsidRPr="00DE4A20" w:rsidRDefault="00B42AC5" w:rsidP="00B42AC5">
      <w:pPr>
        <w:pStyle w:val="20"/>
        <w:ind w:firstLine="709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                             (код ЄДРПОУ 03362123, місцезнаходження юридичної особи: 04053, місто Київ, вул. Кудрявська, 23) від 02 червня </w:t>
      </w:r>
      <w:r w:rsidRPr="00E13205">
        <w:rPr>
          <w:color w:val="000000" w:themeColor="text1"/>
          <w:szCs w:val="28"/>
          <w:lang w:val="uk-UA"/>
        </w:rPr>
        <w:t xml:space="preserve">2025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>№ 64125-009715588-031-03</w:t>
      </w:r>
      <w:r>
        <w:rPr>
          <w:color w:val="000000" w:themeColor="text1"/>
          <w:szCs w:val="28"/>
          <w:lang w:val="uk-UA"/>
        </w:rPr>
        <w:t>, 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706A7D38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B42AC5" w:rsidRPr="00B42AC5">
        <w:rPr>
          <w:color w:val="000000" w:themeColor="text1"/>
          <w:sz w:val="28"/>
          <w:szCs w:val="28"/>
          <w:lang w:val="uk-UA"/>
        </w:rPr>
        <w:t xml:space="preserve"> 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 користування земельну ділянку</w:t>
      </w:r>
      <w:r w:rsidR="00F837D8" w:rsidRPr="00B42AC5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B42AC5">
        <w:rPr>
          <w:iCs/>
          <w:color w:val="000000" w:themeColor="text1"/>
          <w:sz w:val="28"/>
          <w:szCs w:val="28"/>
          <w:lang w:val="uk-UA" w:eastAsia="uk-UA"/>
        </w:rPr>
        <w:t>0,1397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B42AC5">
        <w:rPr>
          <w:iCs/>
          <w:color w:val="000000" w:themeColor="text1"/>
          <w:sz w:val="28"/>
          <w:szCs w:val="28"/>
          <w:lang w:val="uk-UA" w:eastAsia="uk-UA"/>
        </w:rPr>
        <w:t>8000000000:82:039:0014</w:t>
      </w:r>
      <w:r w:rsidR="00F837D8" w:rsidRPr="00AF790C">
        <w:rPr>
          <w:sz w:val="28"/>
          <w:szCs w:val="28"/>
          <w:lang w:val="uk-UA"/>
        </w:rPr>
        <w:t xml:space="preserve">) </w:t>
      </w:r>
      <w:r w:rsidR="00B42AC5" w:rsidRPr="00B42AC5">
        <w:rPr>
          <w:sz w:val="28"/>
          <w:szCs w:val="28"/>
          <w:lang w:val="uk-UA"/>
        </w:rPr>
        <w:t>для утримання та благоустрою зелених зон і зелених насаджень та обслуговування озелененої території</w:t>
      </w:r>
      <w:r w:rsidR="00045FAD" w:rsidRPr="00B42AC5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 </w:t>
      </w:r>
      <w:r w:rsidR="00F837D8" w:rsidRPr="00B42AC5">
        <w:rPr>
          <w:sz w:val="28"/>
          <w:szCs w:val="28"/>
          <w:lang w:val="uk-UA"/>
        </w:rPr>
        <w:t xml:space="preserve">вул. Мечнікова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B42AC5">
        <w:rPr>
          <w:sz w:val="28"/>
          <w:szCs w:val="28"/>
          <w:lang w:val="uk-UA"/>
        </w:rPr>
        <w:t>Печерському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</w:t>
      </w:r>
      <w:r w:rsidR="00F837D8" w:rsidRPr="00AF790C">
        <w:rPr>
          <w:sz w:val="28"/>
          <w:szCs w:val="28"/>
          <w:lang w:val="uk-UA"/>
        </w:rPr>
        <w:lastRenderedPageBreak/>
        <w:t>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рекреаційного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4FB">
        <w:rPr>
          <w:color w:val="000000" w:themeColor="text1"/>
          <w:sz w:val="28"/>
          <w:szCs w:val="28"/>
          <w:lang w:val="uk-UA"/>
        </w:rPr>
        <w:t xml:space="preserve">заява ДЦ від 02 червня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64125-009715588-031-03,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560044531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4BCD10B9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1507733C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України.</w:t>
      </w:r>
    </w:p>
    <w:p w14:paraId="59DC7918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7A1E85AD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7FFB36A1" w14:textId="7B0D0470" w:rsidR="00F864FB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3D703566" w14:textId="25E4BBF4" w:rsidR="001334A3" w:rsidRDefault="001334A3" w:rsidP="001334A3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1334A3">
        <w:rPr>
          <w:color w:val="000000" w:themeColor="text1"/>
          <w:sz w:val="28"/>
          <w:szCs w:val="28"/>
          <w:lang w:val="uk-UA"/>
        </w:rPr>
        <w:t>2.5. Земельну ділянку в межах червоних ліній використовувати з обмеженням відповідно до вимог Закону України «Про автомобільні дороги».</w:t>
      </w:r>
    </w:p>
    <w:p w14:paraId="636BB732" w14:textId="77777777" w:rsidR="00F864FB" w:rsidRPr="00DB3F45" w:rsidRDefault="00F864FB" w:rsidP="00F864FB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2.5</w:t>
      </w:r>
      <w:r w:rsidRPr="005F5925">
        <w:rPr>
          <w:color w:val="000000" w:themeColor="text1"/>
          <w:sz w:val="28"/>
          <w:szCs w:val="28"/>
          <w:lang w:val="uk-UA"/>
        </w:rPr>
        <w:t>. Забезпечити виконання вимог Закону України «Про охорону культурної спадщини».</w:t>
      </w:r>
    </w:p>
    <w:p w14:paraId="365FEAFB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18C675A7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109C52AD" w14:textId="77777777" w:rsidR="00F864FB" w:rsidRPr="00DB3F45" w:rsidRDefault="00F864FB" w:rsidP="00F864FB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DB3F45"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3"/>
        <w:gridCol w:w="3835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C57542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C57542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C57542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328C10D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D82F6D2" w14:textId="77777777" w:rsidR="00926A9E" w:rsidRDefault="00926A9E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11665CEF" w:rsidR="00CD35B0" w:rsidRDefault="00BA1F01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Юрій ШПАК</w:t>
            </w:r>
            <w:r w:rsidR="00CD35B0"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133AA516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69"/>
        <w:gridCol w:w="3869"/>
      </w:tblGrid>
      <w:tr w:rsidR="00BA1F01" w:rsidRPr="00BA1F01" w14:paraId="77ED8098" w14:textId="77777777" w:rsidTr="00317E76">
        <w:trPr>
          <w:trHeight w:val="953"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57ADA328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B59112B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A1F01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62F47E14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BA1F01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5895AED7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1614553" w14:textId="77777777" w:rsidR="00BA1F01" w:rsidRPr="00BA1F01" w:rsidRDefault="00BA1F01" w:rsidP="00BA1F0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BA1F01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14:paraId="0BAD451E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14139B6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E4FC7BC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5AE3381" w14:textId="77777777" w:rsidR="00BA1F01" w:rsidRPr="00BA1F01" w:rsidRDefault="00BA1F01" w:rsidP="00BA1F0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6FAA089" w14:textId="77777777" w:rsidR="00BA1F01" w:rsidRPr="00BA1F01" w:rsidRDefault="00BA1F01" w:rsidP="00BA1F0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BA1F01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4BDBFF61" w14:textId="77777777" w:rsidR="00BA1F01" w:rsidRDefault="00BA1F0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5C80185" w:rsidR="00E75718" w:rsidRPr="00926A9E" w:rsidRDefault="001D656A" w:rsidP="001D656A">
      <w:pPr>
        <w:rPr>
          <w:color w:val="000000"/>
          <w:sz w:val="28"/>
          <w:szCs w:val="28"/>
          <w:lang w:eastAsia="uk-UA"/>
        </w:rPr>
      </w:pPr>
      <w:bookmarkStart w:id="0" w:name="_GoBack"/>
      <w:bookmarkEnd w:id="0"/>
      <w:r w:rsidRPr="00926A9E">
        <w:rPr>
          <w:color w:val="000000"/>
          <w:sz w:val="28"/>
          <w:szCs w:val="28"/>
          <w:lang w:eastAsia="uk-UA"/>
        </w:rPr>
        <w:t xml:space="preserve"> </w:t>
      </w:r>
    </w:p>
    <w:sectPr w:rsidR="00E75718" w:rsidRPr="00926A9E" w:rsidSect="00901ACF">
      <w:pgSz w:w="11906" w:h="16838"/>
      <w:pgMar w:top="1276" w:right="567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58462" w14:textId="77777777" w:rsidR="00455BEE" w:rsidRDefault="00455BEE">
      <w:r>
        <w:separator/>
      </w:r>
    </w:p>
  </w:endnote>
  <w:endnote w:type="continuationSeparator" w:id="0">
    <w:p w14:paraId="623030DA" w14:textId="77777777" w:rsidR="00455BEE" w:rsidRDefault="004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BC81E" w14:textId="77777777" w:rsidR="00455BEE" w:rsidRDefault="00455BEE">
      <w:r>
        <w:separator/>
      </w:r>
    </w:p>
  </w:footnote>
  <w:footnote w:type="continuationSeparator" w:id="0">
    <w:p w14:paraId="26098F03" w14:textId="77777777" w:rsidR="00455BEE" w:rsidRDefault="0045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4A3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D656A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55BEE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6ABD"/>
    <w:rsid w:val="008D75E7"/>
    <w:rsid w:val="008D7861"/>
    <w:rsid w:val="008E2C7B"/>
    <w:rsid w:val="008F6F5B"/>
    <w:rsid w:val="008F76F5"/>
    <w:rsid w:val="00901ACF"/>
    <w:rsid w:val="00903BB7"/>
    <w:rsid w:val="00906A5B"/>
    <w:rsid w:val="00920461"/>
    <w:rsid w:val="00926A9E"/>
    <w:rsid w:val="00930315"/>
    <w:rsid w:val="00931C94"/>
    <w:rsid w:val="009342BD"/>
    <w:rsid w:val="00946D8B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2AC5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1F01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57542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4FB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4352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14</cp:revision>
  <cp:lastPrinted>2025-06-09T10:17:00Z</cp:lastPrinted>
  <dcterms:created xsi:type="dcterms:W3CDTF">2025-06-09T08:51:00Z</dcterms:created>
  <dcterms:modified xsi:type="dcterms:W3CDTF">2025-06-19T12:49:00Z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