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555439729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555439729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ПЗН-77705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06.02.2025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3E3374B5" w:rsidR="00B30291" w:rsidRPr="00BE27D2" w:rsidRDefault="00BE27D2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BE27D2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BE27D2">
        <w:rPr>
          <w:rStyle w:val="ac"/>
          <w:b/>
          <w:color w:val="000000" w:themeColor="text1"/>
          <w:sz w:val="24"/>
          <w:szCs w:val="24"/>
        </w:rPr>
        <w:t>постійне</w:t>
      </w:r>
      <w:proofErr w:type="spellEnd"/>
      <w:r w:rsidRPr="00BE27D2">
        <w:rPr>
          <w:rStyle w:val="ac"/>
          <w:b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rStyle w:val="ac"/>
          <w:b/>
          <w:color w:val="000000" w:themeColor="text1"/>
          <w:sz w:val="24"/>
          <w:szCs w:val="24"/>
        </w:rPr>
        <w:t>користування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для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розміщення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та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експлуатації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основних</w:t>
      </w:r>
      <w:proofErr w:type="spellEnd"/>
      <w:r w:rsidRPr="00BE27D2">
        <w:rPr>
          <w:b/>
          <w:i/>
          <w:iCs/>
          <w:sz w:val="24"/>
          <w:szCs w:val="24"/>
        </w:rPr>
        <w:t xml:space="preserve">, </w:t>
      </w:r>
      <w:proofErr w:type="spellStart"/>
      <w:r w:rsidRPr="00BE27D2">
        <w:rPr>
          <w:b/>
          <w:i/>
          <w:iCs/>
          <w:sz w:val="24"/>
          <w:szCs w:val="24"/>
        </w:rPr>
        <w:t>підсобних</w:t>
      </w:r>
      <w:proofErr w:type="spellEnd"/>
      <w:r w:rsidRPr="00BE27D2">
        <w:rPr>
          <w:b/>
          <w:i/>
          <w:iCs/>
          <w:sz w:val="24"/>
          <w:szCs w:val="24"/>
        </w:rPr>
        <w:t xml:space="preserve"> і </w:t>
      </w:r>
      <w:proofErr w:type="spellStart"/>
      <w:r w:rsidRPr="00BE27D2">
        <w:rPr>
          <w:b/>
          <w:i/>
          <w:iCs/>
          <w:sz w:val="24"/>
          <w:szCs w:val="24"/>
        </w:rPr>
        <w:t>допоміжних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будівель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та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споруд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технічної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інфраструктури</w:t>
      </w:r>
      <w:proofErr w:type="spellEnd"/>
      <w:r w:rsidRPr="00BE27D2">
        <w:rPr>
          <w:b/>
          <w:i/>
          <w:iCs/>
          <w:sz w:val="24"/>
          <w:szCs w:val="24"/>
        </w:rPr>
        <w:t xml:space="preserve"> (</w:t>
      </w:r>
      <w:proofErr w:type="spellStart"/>
      <w:r w:rsidRPr="00BE27D2">
        <w:rPr>
          <w:b/>
          <w:i/>
          <w:iCs/>
          <w:sz w:val="24"/>
          <w:szCs w:val="24"/>
        </w:rPr>
        <w:t>виробництва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та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розподілення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газу</w:t>
      </w:r>
      <w:proofErr w:type="spellEnd"/>
      <w:r w:rsidRPr="00BE27D2">
        <w:rPr>
          <w:b/>
          <w:i/>
          <w:iCs/>
          <w:sz w:val="24"/>
          <w:szCs w:val="24"/>
        </w:rPr>
        <w:t xml:space="preserve">, </w:t>
      </w:r>
      <w:proofErr w:type="spellStart"/>
      <w:r w:rsidRPr="00BE27D2">
        <w:rPr>
          <w:b/>
          <w:i/>
          <w:iCs/>
          <w:sz w:val="24"/>
          <w:szCs w:val="24"/>
        </w:rPr>
        <w:t>постачання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пари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та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гарячої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води</w:t>
      </w:r>
      <w:proofErr w:type="spellEnd"/>
      <w:r w:rsidRPr="00BE27D2">
        <w:rPr>
          <w:b/>
          <w:i/>
          <w:iCs/>
          <w:sz w:val="24"/>
          <w:szCs w:val="24"/>
        </w:rPr>
        <w:t xml:space="preserve">, </w:t>
      </w:r>
      <w:proofErr w:type="spellStart"/>
      <w:r w:rsidRPr="00BE27D2">
        <w:rPr>
          <w:b/>
          <w:i/>
          <w:iCs/>
          <w:sz w:val="24"/>
          <w:szCs w:val="24"/>
        </w:rPr>
        <w:t>збирання</w:t>
      </w:r>
      <w:proofErr w:type="spellEnd"/>
      <w:r w:rsidRPr="00BE27D2">
        <w:rPr>
          <w:b/>
          <w:i/>
          <w:iCs/>
          <w:sz w:val="24"/>
          <w:szCs w:val="24"/>
        </w:rPr>
        <w:t xml:space="preserve">, </w:t>
      </w:r>
      <w:proofErr w:type="spellStart"/>
      <w:r w:rsidRPr="00BE27D2">
        <w:rPr>
          <w:b/>
          <w:i/>
          <w:iCs/>
          <w:sz w:val="24"/>
          <w:szCs w:val="24"/>
        </w:rPr>
        <w:t>очищення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та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розподілення</w:t>
      </w:r>
      <w:proofErr w:type="spellEnd"/>
      <w:r w:rsidRPr="00BE27D2">
        <w:rPr>
          <w:b/>
          <w:i/>
          <w:iCs/>
          <w:sz w:val="24"/>
          <w:szCs w:val="24"/>
        </w:rPr>
        <w:t xml:space="preserve"> </w:t>
      </w:r>
      <w:proofErr w:type="spellStart"/>
      <w:r w:rsidRPr="00BE27D2">
        <w:rPr>
          <w:b/>
          <w:i/>
          <w:iCs/>
          <w:sz w:val="24"/>
          <w:szCs w:val="24"/>
        </w:rPr>
        <w:t>води</w:t>
      </w:r>
      <w:proofErr w:type="spellEnd"/>
      <w:r w:rsidRPr="00BE27D2">
        <w:rPr>
          <w:b/>
          <w:i/>
          <w:iCs/>
          <w:sz w:val="24"/>
          <w:szCs w:val="24"/>
        </w:rPr>
        <w:t xml:space="preserve">)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27D2">
        <w:rPr>
          <w:b/>
          <w:i/>
          <w:iCs/>
          <w:color w:val="000000" w:themeColor="text1"/>
          <w:sz w:val="24"/>
          <w:szCs w:val="24"/>
        </w:rPr>
        <w:t>Харківському</w:t>
      </w:r>
      <w:proofErr w:type="spellEnd"/>
      <w:r w:rsidRPr="00BE27D2">
        <w:rPr>
          <w:b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BE27D2">
        <w:rPr>
          <w:b/>
          <w:i/>
          <w:iCs/>
          <w:color w:val="000000" w:themeColor="text1"/>
          <w:sz w:val="24"/>
          <w:szCs w:val="24"/>
        </w:rPr>
        <w:t>шосе</w:t>
      </w:r>
      <w:proofErr w:type="spellEnd"/>
      <w:proofErr w:type="gramEnd"/>
      <w:r w:rsidRPr="00BE27D2">
        <w:rPr>
          <w:b/>
          <w:i/>
          <w:iCs/>
          <w:color w:val="000000" w:themeColor="text1"/>
          <w:sz w:val="24"/>
          <w:szCs w:val="24"/>
        </w:rPr>
        <w:t xml:space="preserve">, 21/6 </w:t>
      </w:r>
      <w:r w:rsidRPr="00BE27D2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BE27D2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BE27D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27D2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E27D2" w:rsidRPr="00CF2418" w14:paraId="2AF076D2" w14:textId="77777777" w:rsidTr="00BE27D2">
        <w:trPr>
          <w:cantSplit/>
          <w:trHeight w:val="928"/>
        </w:trPr>
        <w:tc>
          <w:tcPr>
            <w:tcW w:w="3266" w:type="dxa"/>
          </w:tcPr>
          <w:p w14:paraId="68C5FC27" w14:textId="77777777" w:rsidR="00BE27D2" w:rsidRPr="00CF2418" w:rsidRDefault="00BE27D2" w:rsidP="00BE27D2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2FBB4710" w:rsidR="00BE27D2" w:rsidRPr="00AC6C1F" w:rsidRDefault="00BE27D2" w:rsidP="00BE27D2">
            <w:pPr>
              <w:pStyle w:val="a4"/>
              <w:shd w:val="clear" w:color="auto" w:fill="auto"/>
              <w:ind w:left="28" w:right="-102"/>
              <w:rPr>
                <w:b/>
                <w:i/>
                <w:sz w:val="24"/>
                <w:szCs w:val="24"/>
              </w:rPr>
            </w:pPr>
            <w:r w:rsidRPr="00F45984">
              <w:rPr>
                <w:i/>
                <w:iCs/>
                <w:sz w:val="24"/>
                <w:szCs w:val="24"/>
                <w:lang w:val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45984">
              <w:rPr>
                <w:i/>
                <w:sz w:val="24"/>
                <w:szCs w:val="24"/>
                <w:lang w:val="uk-UA"/>
              </w:rPr>
              <w:t xml:space="preserve">(далі - </w:t>
            </w:r>
            <w:r w:rsidRPr="00F45984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КП </w:t>
            </w:r>
            <w:r w:rsidRPr="00F45984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«КИЇВТЕПЛОЕНЕРГО»)</w:t>
            </w:r>
          </w:p>
        </w:tc>
      </w:tr>
      <w:tr w:rsidR="00BE27D2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E27D2" w:rsidRPr="00AC6C1F" w:rsidRDefault="00BE27D2" w:rsidP="00BE27D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60F78252" w:rsidR="00BE27D2" w:rsidRPr="00AC6C1F" w:rsidRDefault="00BE27D2" w:rsidP="00BE27D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3811D5E0" w:rsidR="00BE27D2" w:rsidRPr="00AC6C1F" w:rsidRDefault="00BE27D2" w:rsidP="00BE27D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F45984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КИЇВСЬКА МІСЬКА РАДА</w:t>
            </w:r>
            <w:r w:rsidRPr="00F45984">
              <w:rPr>
                <w:b w:val="0"/>
                <w:i/>
                <w:sz w:val="24"/>
                <w:szCs w:val="24"/>
                <w:lang w:val="uk-UA"/>
              </w:rPr>
              <w:br/>
            </w:r>
            <w:r w:rsidRPr="00F45984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Код ЄДРПОУ засновника: 22883141</w:t>
            </w:r>
            <w:r w:rsidRPr="00F45984">
              <w:rPr>
                <w:b w:val="0"/>
                <w:i/>
                <w:sz w:val="24"/>
                <w:szCs w:val="24"/>
                <w:lang w:val="uk-UA"/>
              </w:rPr>
              <w:br/>
            </w:r>
            <w:r w:rsidRPr="00F45984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Адреса засновника: 01044, м. Київ, вул. Хрещатик, 36</w:t>
            </w:r>
          </w:p>
        </w:tc>
      </w:tr>
      <w:tr w:rsidR="00BE27D2" w:rsidRPr="00CF2418" w14:paraId="18172CC5" w14:textId="77777777" w:rsidTr="00BE27D2">
        <w:trPr>
          <w:cantSplit/>
          <w:trHeight w:val="756"/>
        </w:trPr>
        <w:tc>
          <w:tcPr>
            <w:tcW w:w="3266" w:type="dxa"/>
          </w:tcPr>
          <w:p w14:paraId="40D686A9" w14:textId="77777777" w:rsidR="00BE27D2" w:rsidRDefault="00BE27D2" w:rsidP="00BE27D2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A259FFB" w:rsidR="00BE27D2" w:rsidRPr="00B30291" w:rsidRDefault="00BE27D2" w:rsidP="00BE27D2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82E944" w:rsidR="00BE27D2" w:rsidRPr="00AC6C1F" w:rsidRDefault="00BE27D2" w:rsidP="00BE27D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45984">
              <w:rPr>
                <w:b w:val="0"/>
                <w:i/>
                <w:iCs/>
                <w:sz w:val="24"/>
                <w:szCs w:val="19"/>
                <w:lang w:val="uk-UA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29.01.2025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555439729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E27D2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BE27D2">
        <w:rPr>
          <w:sz w:val="24"/>
          <w:szCs w:val="24"/>
          <w:lang w:val="uk-UA"/>
        </w:rPr>
        <w:t>Відомості про земельну ділянку (кадастровий № 8000000000:63:241:0177).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BE27D2" w14:paraId="4C79BE2D" w14:textId="77777777" w:rsidTr="00BE27D2">
        <w:trPr>
          <w:trHeight w:hRule="exact" w:val="392"/>
        </w:trPr>
        <w:tc>
          <w:tcPr>
            <w:tcW w:w="3260" w:type="dxa"/>
            <w:shd w:val="clear" w:color="auto" w:fill="FFFFFF"/>
          </w:tcPr>
          <w:p w14:paraId="4A1F0E28" w14:textId="77777777" w:rsidR="00B30291" w:rsidRPr="00BE27D2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27D2">
              <w:rPr>
                <w:sz w:val="24"/>
                <w:szCs w:val="24"/>
                <w:lang w:val="uk-UA"/>
              </w:rPr>
              <w:t xml:space="preserve"> </w:t>
            </w:r>
            <w:r w:rsidR="00B30291" w:rsidRPr="00BE27D2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BE27D2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E27D2">
              <w:rPr>
                <w:i/>
                <w:iCs/>
                <w:sz w:val="24"/>
                <w:szCs w:val="24"/>
                <w:lang w:val="uk-UA"/>
              </w:rPr>
              <w:t>м. Київ, р-н Дарницький, Харківське шосе, 21/6</w:t>
            </w:r>
          </w:p>
        </w:tc>
      </w:tr>
      <w:tr w:rsidR="00B30291" w:rsidRPr="00BE27D2" w14:paraId="2FE40A2A" w14:textId="77777777" w:rsidTr="00BE27D2">
        <w:trPr>
          <w:trHeight w:hRule="exact" w:val="411"/>
        </w:trPr>
        <w:tc>
          <w:tcPr>
            <w:tcW w:w="3260" w:type="dxa"/>
            <w:shd w:val="clear" w:color="auto" w:fill="FFFFFF"/>
          </w:tcPr>
          <w:p w14:paraId="7581B470" w14:textId="77777777" w:rsidR="00B30291" w:rsidRPr="00BE27D2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27D2">
              <w:rPr>
                <w:sz w:val="24"/>
                <w:szCs w:val="24"/>
                <w:lang w:val="uk-UA"/>
              </w:rPr>
              <w:t xml:space="preserve"> </w:t>
            </w:r>
            <w:r w:rsidR="00B30291" w:rsidRPr="00BE27D2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BE27D2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E27D2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0,0165</w:t>
            </w:r>
            <w:r w:rsidR="00B30291" w:rsidRPr="00BE27D2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BE27D2" w14:paraId="22F8D86A" w14:textId="77777777" w:rsidTr="00BE27D2">
        <w:trPr>
          <w:trHeight w:hRule="exact" w:val="43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BE27D2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27D2">
              <w:rPr>
                <w:sz w:val="24"/>
                <w:szCs w:val="24"/>
                <w:lang w:val="uk-UA"/>
              </w:rPr>
              <w:t xml:space="preserve"> </w:t>
            </w:r>
            <w:r w:rsidR="00B30291" w:rsidRPr="00BE27D2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BE27D2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BE27D2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03918A9" w:rsidR="00B30291" w:rsidRPr="00BE27D2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E27D2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E27D2" w:rsidRPr="00BE27D2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BE27D2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BE27D2" w14:paraId="6763E525" w14:textId="77777777" w:rsidTr="00BE27D2">
        <w:trPr>
          <w:trHeight w:hRule="exact" w:val="990"/>
        </w:trPr>
        <w:tc>
          <w:tcPr>
            <w:tcW w:w="3260" w:type="dxa"/>
            <w:shd w:val="clear" w:color="auto" w:fill="FFFFFF"/>
          </w:tcPr>
          <w:p w14:paraId="3F931AB9" w14:textId="5799A95F" w:rsidR="00B30291" w:rsidRPr="00BE27D2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27D2">
              <w:rPr>
                <w:sz w:val="24"/>
                <w:szCs w:val="24"/>
                <w:lang w:val="uk-UA"/>
              </w:rPr>
              <w:t xml:space="preserve"> </w:t>
            </w:r>
            <w:r w:rsidR="006A34C6" w:rsidRPr="00BE27D2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5593CD3" w:rsidR="00B30291" w:rsidRPr="00BE27D2" w:rsidRDefault="006A34C6" w:rsidP="00BE27D2">
            <w:pPr>
              <w:pStyle w:val="a4"/>
              <w:shd w:val="clear" w:color="auto" w:fill="auto"/>
              <w:ind w:left="136" w:right="136"/>
              <w:jc w:val="both"/>
              <w:rPr>
                <w:i/>
                <w:sz w:val="24"/>
                <w:szCs w:val="24"/>
                <w:lang w:val="uk-UA"/>
              </w:rPr>
            </w:pPr>
            <w:r w:rsidRPr="00BE27D2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:rsidRPr="00BE27D2" w14:paraId="4EEB19B1" w14:textId="77777777" w:rsidTr="00BE27D2">
        <w:trPr>
          <w:trHeight w:hRule="exact" w:val="2564"/>
        </w:trPr>
        <w:tc>
          <w:tcPr>
            <w:tcW w:w="3260" w:type="dxa"/>
            <w:shd w:val="clear" w:color="auto" w:fill="FFFFFF"/>
          </w:tcPr>
          <w:p w14:paraId="7E5AA3FD" w14:textId="77777777" w:rsidR="00B30291" w:rsidRPr="00BE27D2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E27D2">
              <w:rPr>
                <w:sz w:val="24"/>
                <w:szCs w:val="24"/>
                <w:lang w:val="uk-UA"/>
              </w:rPr>
              <w:t xml:space="preserve"> </w:t>
            </w:r>
            <w:r w:rsidR="00B30291" w:rsidRPr="00BE27D2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8344220" w14:textId="77777777" w:rsidR="00BE27D2" w:rsidRPr="00BE27D2" w:rsidRDefault="00BE27D2" w:rsidP="00BE27D2">
            <w:pPr>
              <w:pStyle w:val="a4"/>
              <w:shd w:val="clear" w:color="auto" w:fill="auto"/>
              <w:tabs>
                <w:tab w:val="left" w:pos="5941"/>
              </w:tabs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BE27D2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існуюче </w:t>
            </w:r>
            <w:r w:rsidRPr="00BE27D2">
              <w:rPr>
                <w:i/>
                <w:sz w:val="24"/>
                <w:szCs w:val="24"/>
                <w:lang w:val="uk-UA"/>
              </w:rPr>
              <w:t>- 14.02 для розміщення, будівництва, експлуатації та обслуговування будівель і споруд об’єктів передачі електричної енергії</w:t>
            </w:r>
            <w:r w:rsidRPr="00BE27D2">
              <w:rPr>
                <w:rStyle w:val="ac"/>
                <w:sz w:val="24"/>
                <w:szCs w:val="24"/>
                <w:lang w:val="uk-UA"/>
              </w:rPr>
              <w:t>;</w:t>
            </w:r>
          </w:p>
          <w:p w14:paraId="07D9D0EC" w14:textId="77777777" w:rsidR="00BE27D2" w:rsidRPr="00BE27D2" w:rsidRDefault="00BE27D2" w:rsidP="00BE27D2">
            <w:pPr>
              <w:pStyle w:val="a4"/>
              <w:shd w:val="clear" w:color="auto" w:fill="auto"/>
              <w:tabs>
                <w:tab w:val="left" w:pos="5941"/>
              </w:tabs>
              <w:ind w:left="140" w:right="140"/>
              <w:jc w:val="both"/>
              <w:rPr>
                <w:i/>
                <w:highlight w:val="white"/>
                <w:lang w:val="uk-UA"/>
              </w:rPr>
            </w:pPr>
          </w:p>
          <w:p w14:paraId="130335C5" w14:textId="27C5BA5B" w:rsidR="00A318A9" w:rsidRPr="00BE27D2" w:rsidRDefault="00BE27D2" w:rsidP="00BE27D2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BE27D2">
              <w:rPr>
                <w:i/>
                <w:sz w:val="24"/>
                <w:szCs w:val="24"/>
                <w:highlight w:val="white"/>
                <w:lang w:val="uk-UA"/>
              </w:rPr>
              <w:t>проєктне</w:t>
            </w:r>
            <w:proofErr w:type="spellEnd"/>
            <w:r w:rsidRPr="00BE27D2">
              <w:rPr>
                <w:i/>
                <w:sz w:val="24"/>
                <w:szCs w:val="24"/>
                <w:highlight w:val="white"/>
                <w:lang w:val="uk-UA"/>
              </w:rPr>
              <w:t xml:space="preserve"> - 11.04</w:t>
            </w:r>
            <w:r w:rsidRPr="00BE27D2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  <w:p w14:paraId="7D3283A1" w14:textId="77777777" w:rsidR="00A318A9" w:rsidRPr="00BE27D2" w:rsidRDefault="00A318A9" w:rsidP="00BE27D2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BE27D2" w:rsidRDefault="00A318A9" w:rsidP="00BE27D2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BE27D2" w:rsidRDefault="00A318A9" w:rsidP="00BE27D2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BE27D2" w:rsidRDefault="00A318A9" w:rsidP="00BE27D2">
            <w:pPr>
              <w:pStyle w:val="a4"/>
              <w:shd w:val="clear" w:color="auto" w:fill="auto"/>
              <w:ind w:left="136" w:right="136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BE27D2" w:rsidRDefault="00A318A9" w:rsidP="00BE27D2">
            <w:pPr>
              <w:pStyle w:val="a4"/>
              <w:shd w:val="clear" w:color="auto" w:fill="auto"/>
              <w:ind w:left="136" w:right="136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782F11">
        <w:trPr>
          <w:trHeight w:hRule="exact" w:val="55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135990C" w14:textId="37180AD0" w:rsidR="00BE27D2" w:rsidRPr="00F45984" w:rsidRDefault="00BE27D2" w:rsidP="00BE27D2">
            <w:pPr>
              <w:pStyle w:val="a4"/>
              <w:ind w:left="140"/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існуюча -</w:t>
            </w:r>
            <w:r w:rsidRPr="00F4598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782F11" w:rsidRPr="00782F11">
              <w:rPr>
                <w:bCs/>
                <w:i/>
                <w:sz w:val="24"/>
                <w:szCs w:val="24"/>
              </w:rPr>
              <w:t>202 291</w:t>
            </w:r>
            <w:r w:rsidR="00782F11">
              <w:rPr>
                <w:b/>
                <w:bCs/>
                <w:lang w:val="uk-UA"/>
              </w:rPr>
              <w:t xml:space="preserve"> 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782F11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42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коп</w:t>
            </w:r>
            <w:proofErr w:type="spellEnd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2C7E83FA" w14:textId="4A1FBBF7" w:rsidR="00B30291" w:rsidRPr="008F240B" w:rsidRDefault="00BE27D2" w:rsidP="00782F11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proofErr w:type="spellStart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проєктна</w:t>
            </w:r>
            <w:proofErr w:type="spellEnd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 - </w:t>
            </w:r>
            <w:r w:rsidR="00782F11" w:rsidRPr="00782F11">
              <w:rPr>
                <w:bCs/>
                <w:i/>
                <w:sz w:val="24"/>
                <w:szCs w:val="24"/>
              </w:rPr>
              <w:t>262 978</w:t>
            </w:r>
            <w:r w:rsidRPr="00782F11">
              <w:rPr>
                <w:b/>
                <w:bCs/>
                <w:sz w:val="18"/>
                <w:lang w:val="uk-UA"/>
              </w:rPr>
              <w:t xml:space="preserve"> 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782F11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8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5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20FC74CF" w14:textId="77777777" w:rsidR="00BE27D2" w:rsidRPr="00F45984" w:rsidRDefault="00BE27D2" w:rsidP="00BE27D2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F45984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1019DBDB" w14:textId="77777777" w:rsidR="00BE27D2" w:rsidRPr="00F45984" w:rsidRDefault="00BE27D2" w:rsidP="00BE27D2">
      <w:pPr>
        <w:pStyle w:val="1"/>
        <w:shd w:val="clear" w:color="auto" w:fill="auto"/>
        <w:spacing w:after="40"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землеустрою щодо відведення земельної ділянки, на підставі якого та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Київської міської                    ради.</w:t>
      </w:r>
    </w:p>
    <w:p w14:paraId="4B140BF1" w14:textId="77777777" w:rsidR="00BE27D2" w:rsidRPr="00F45984" w:rsidRDefault="00BE27D2" w:rsidP="00BE27D2">
      <w:pPr>
        <w:pStyle w:val="1"/>
        <w:shd w:val="clear" w:color="auto" w:fill="auto"/>
        <w:ind w:firstLine="426"/>
        <w:jc w:val="both"/>
        <w:rPr>
          <w:b/>
          <w:bCs/>
          <w:i w:val="0"/>
          <w:sz w:val="14"/>
          <w:szCs w:val="24"/>
          <w:lang w:val="uk-UA"/>
        </w:rPr>
      </w:pPr>
    </w:p>
    <w:p w14:paraId="5B1AFCE8" w14:textId="77777777" w:rsidR="00BE27D2" w:rsidRPr="00F45984" w:rsidRDefault="00BE27D2" w:rsidP="00BE27D2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56540C0" w14:textId="77777777" w:rsidR="00BE27D2" w:rsidRPr="00F45984" w:rsidRDefault="00BE27D2" w:rsidP="00BE27D2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871D1E2" w14:textId="77777777" w:rsidR="00BE27D2" w:rsidRPr="005F6EF8" w:rsidRDefault="00BE27D2" w:rsidP="00BE27D2">
      <w:pPr>
        <w:pStyle w:val="1"/>
        <w:shd w:val="clear" w:color="auto" w:fill="auto"/>
        <w:ind w:firstLine="440"/>
        <w:jc w:val="both"/>
        <w:rPr>
          <w:sz w:val="16"/>
          <w:szCs w:val="24"/>
          <w:lang w:val="uk-UA"/>
        </w:rPr>
      </w:pPr>
    </w:p>
    <w:p w14:paraId="118D6D32" w14:textId="77777777" w:rsidR="00BE27D2" w:rsidRPr="00F45984" w:rsidRDefault="00BE27D2" w:rsidP="00BE27D2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F45984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E27D2" w:rsidRPr="00F45984" w14:paraId="5D85E3DD" w14:textId="77777777" w:rsidTr="007D41F7">
        <w:trPr>
          <w:cantSplit/>
          <w:trHeight w:val="4155"/>
        </w:trPr>
        <w:tc>
          <w:tcPr>
            <w:tcW w:w="3260" w:type="dxa"/>
          </w:tcPr>
          <w:p w14:paraId="79A2E370" w14:textId="77777777" w:rsidR="00BE27D2" w:rsidRPr="00F45984" w:rsidRDefault="00BE27D2" w:rsidP="007D41F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78FC3C71" w14:textId="77777777" w:rsidR="00BE27D2" w:rsidRPr="00F45984" w:rsidRDefault="00BE27D2" w:rsidP="007D41F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7FA7A585" w14:textId="6B9A2607" w:rsidR="00BE27D2" w:rsidRPr="00F45984" w:rsidRDefault="00BE27D2" w:rsidP="00BE27D2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E27D2">
              <w:rPr>
                <w:rFonts w:ascii="Times New Roman" w:hAnsi="Times New Roman" w:cs="Times New Roman"/>
                <w:i/>
              </w:rPr>
              <w:t xml:space="preserve">Земельна ділянка забудована нежитловою будівлею бойлерної (літ. «Б») загальною площею 64,7 </w:t>
            </w:r>
            <w:proofErr w:type="spellStart"/>
            <w:r w:rsidRPr="00BE27D2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BE27D2">
              <w:rPr>
                <w:rFonts w:ascii="Times New Roman" w:hAnsi="Times New Roman" w:cs="Times New Roman"/>
                <w:i/>
              </w:rPr>
              <w:t xml:space="preserve">, яка закріплена </w:t>
            </w:r>
            <w:r w:rsidRPr="00BE27D2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                                      КП </w:t>
            </w:r>
            <w:r w:rsidRPr="00BE27D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«КИЇВТЕПЛОЕНЕРГО»</w:t>
            </w:r>
            <w:r w:rsidRPr="00BE27D2">
              <w:rPr>
                <w:rFonts w:ascii="Times New Roman" w:hAnsi="Times New Roman" w:cs="Times New Roman"/>
                <w:i/>
              </w:rPr>
              <w:t xml:space="preserve"> </w:t>
            </w:r>
            <w:r w:rsidRPr="00BE27D2">
              <w:rPr>
                <w:rFonts w:ascii="Times New Roman" w:hAnsi="Times New Roman" w:cs="Times New Roman"/>
                <w:i/>
                <w:color w:val="000000" w:themeColor="text1"/>
              </w:rPr>
              <w:t>відповідно до рішення Київської міської ради від 28.07.2016 № 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«Київенерго»,</w:t>
            </w:r>
            <w:r w:rsidRPr="00BE27D2">
              <w:rPr>
                <w:rFonts w:ascii="Times New Roman" w:hAnsi="Times New Roman" w:cs="Times New Roman"/>
                <w:i/>
              </w:rPr>
              <w:t xml:space="preserve"> </w:t>
            </w:r>
            <w:r w:rsidRPr="00BE27D2">
              <w:rPr>
                <w:rFonts w:ascii="Times New Roman" w:hAnsi="Times New Roman" w:cs="Times New Roman"/>
                <w:i/>
                <w:color w:val="000000" w:themeColor="text1"/>
              </w:rPr>
              <w:t>право господарського відання зареєстровано в Державному реєстрі речових прав на нерухоме майно 09.12.2021, номер запису про інше речове право 45671667</w:t>
            </w:r>
            <w:r w:rsidRPr="00BE27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27D2">
              <w:rPr>
                <w:rFonts w:ascii="Times New Roman" w:hAnsi="Times New Roman" w:cs="Times New Roman"/>
                <w:i/>
                <w:color w:val="000000" w:themeColor="text1"/>
              </w:rPr>
              <w:t xml:space="preserve">(інформаційна довідка з </w:t>
            </w:r>
            <w:r w:rsidRPr="00BE27D2">
              <w:rPr>
                <w:rFonts w:ascii="Times New Roman" w:hAnsi="Times New Roman" w:cs="Times New Roman"/>
                <w:i/>
              </w:rPr>
              <w:t>Державного реєстру речових</w:t>
            </w:r>
            <w:r>
              <w:rPr>
                <w:rFonts w:ascii="Times New Roman" w:hAnsi="Times New Roman" w:cs="Times New Roman"/>
                <w:i/>
              </w:rPr>
              <w:t xml:space="preserve"> прав на нерухоме майно</w:t>
            </w:r>
            <w:r w:rsidRPr="00F45984">
              <w:rPr>
                <w:rFonts w:ascii="Times New Roman" w:hAnsi="Times New Roman" w:cs="Times New Roman"/>
                <w:i/>
              </w:rPr>
              <w:t xml:space="preserve"> від 05.02.2025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F45984">
              <w:rPr>
                <w:rFonts w:ascii="Times New Roman" w:hAnsi="Times New Roman" w:cs="Times New Roman"/>
                <w:i/>
              </w:rPr>
              <w:t xml:space="preserve">№ </w:t>
            </w:r>
            <w:r w:rsidR="00782F11" w:rsidRPr="00782F11">
              <w:rPr>
                <w:rFonts w:ascii="Times New Roman" w:hAnsi="Times New Roman" w:cs="Times New Roman"/>
                <w:i/>
              </w:rPr>
              <w:t>411707432</w:t>
            </w:r>
            <w:r w:rsidRPr="00F45984">
              <w:rPr>
                <w:rFonts w:ascii="Times New Roman" w:hAnsi="Times New Roman" w:cs="Times New Roman"/>
                <w:i/>
              </w:rPr>
              <w:t>)</w:t>
            </w:r>
            <w:r w:rsidRPr="00F45984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</w:tr>
      <w:tr w:rsidR="00BE27D2" w:rsidRPr="00F45984" w14:paraId="649A16D9" w14:textId="77777777" w:rsidTr="007D41F7">
        <w:trPr>
          <w:cantSplit/>
          <w:trHeight w:val="455"/>
        </w:trPr>
        <w:tc>
          <w:tcPr>
            <w:tcW w:w="3260" w:type="dxa"/>
          </w:tcPr>
          <w:p w14:paraId="74837B8F" w14:textId="77777777" w:rsidR="00BE27D2" w:rsidRPr="00F45984" w:rsidRDefault="00BE27D2" w:rsidP="007D41F7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3281AD3" w14:textId="77777777" w:rsidR="00BE27D2" w:rsidRPr="00F45984" w:rsidRDefault="00BE27D2" w:rsidP="007D41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BE27D2" w:rsidRPr="00F45984" w14:paraId="3139ECE6" w14:textId="77777777" w:rsidTr="007D41F7">
        <w:trPr>
          <w:cantSplit/>
          <w:trHeight w:val="4800"/>
        </w:trPr>
        <w:tc>
          <w:tcPr>
            <w:tcW w:w="3260" w:type="dxa"/>
          </w:tcPr>
          <w:p w14:paraId="066B68F7" w14:textId="77777777" w:rsidR="00BE27D2" w:rsidRPr="00F45984" w:rsidRDefault="00BE27D2" w:rsidP="007D41F7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61A66EF2" w14:textId="77777777" w:rsidR="00BE27D2" w:rsidRPr="00F45984" w:rsidRDefault="00BE27D2" w:rsidP="007D41F7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48FB21FD" w14:textId="7C007369" w:rsidR="00BE27D2" w:rsidRPr="00F45984" w:rsidRDefault="00BE27D2" w:rsidP="007D41F7">
            <w:pPr>
              <w:pStyle w:val="1"/>
              <w:shd w:val="clear" w:color="auto" w:fill="auto"/>
              <w:spacing w:line="252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sz w:val="24"/>
                <w:szCs w:val="24"/>
                <w:lang w:val="uk-UA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житлової забудови багатоповерхової (існуючі)                          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</w:t>
            </w:r>
            <w:r w:rsidR="00135C6E">
              <w:rPr>
                <w:sz w:val="24"/>
                <w:szCs w:val="24"/>
                <w:lang w:val="uk-UA"/>
              </w:rPr>
              <w:t>2</w:t>
            </w:r>
            <w:r w:rsidRPr="00F45984">
              <w:rPr>
                <w:sz w:val="24"/>
                <w:szCs w:val="24"/>
                <w:lang w:val="uk-UA"/>
              </w:rPr>
              <w:t>.08.2024                             № 055-</w:t>
            </w:r>
            <w:r w:rsidR="00135C6E">
              <w:rPr>
                <w:sz w:val="24"/>
                <w:szCs w:val="24"/>
                <w:lang w:val="uk-UA"/>
              </w:rPr>
              <w:t>7976</w:t>
            </w:r>
            <w:r w:rsidRPr="00F45984">
              <w:rPr>
                <w:sz w:val="24"/>
                <w:szCs w:val="24"/>
                <w:lang w:val="uk-UA"/>
              </w:rPr>
              <w:t>).</w:t>
            </w:r>
          </w:p>
          <w:p w14:paraId="6553CC36" w14:textId="10D96BD8" w:rsidR="00BE27D2" w:rsidRPr="00F45984" w:rsidRDefault="00BE27D2" w:rsidP="007D41F7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5984">
              <w:rPr>
                <w:rFonts w:ascii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                № 1051 (зі змінами)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код виду цільового призначення - </w:t>
            </w:r>
            <w:r w:rsidR="00135C6E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F45984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  <w:p w14:paraId="5ACE23A2" w14:textId="77777777" w:rsidR="00BE27D2" w:rsidRPr="00F45984" w:rsidRDefault="00BE27D2" w:rsidP="007D41F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27D2" w:rsidRPr="00F45984" w14:paraId="35106371" w14:textId="77777777" w:rsidTr="007D41F7">
        <w:trPr>
          <w:cantSplit/>
          <w:trHeight w:val="711"/>
        </w:trPr>
        <w:tc>
          <w:tcPr>
            <w:tcW w:w="3260" w:type="dxa"/>
          </w:tcPr>
          <w:p w14:paraId="1641EE60" w14:textId="77777777" w:rsidR="00BE27D2" w:rsidRPr="00F45984" w:rsidRDefault="00BE27D2" w:rsidP="007D41F7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A62A2E7" w14:textId="77777777" w:rsidR="00BE27D2" w:rsidRPr="00F45984" w:rsidRDefault="00BE27D2" w:rsidP="007D41F7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E27D2" w:rsidRPr="00F45984" w14:paraId="12E4BE23" w14:textId="77777777" w:rsidTr="007D41F7">
        <w:trPr>
          <w:cantSplit/>
          <w:trHeight w:val="443"/>
        </w:trPr>
        <w:tc>
          <w:tcPr>
            <w:tcW w:w="3260" w:type="dxa"/>
          </w:tcPr>
          <w:p w14:paraId="50C3B2B4" w14:textId="77777777" w:rsidR="00BE27D2" w:rsidRPr="00F45984" w:rsidRDefault="00BE27D2" w:rsidP="007D41F7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lastRenderedPageBreak/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7EAB7642" w14:textId="77777777" w:rsidR="00BE27D2" w:rsidRPr="00F45984" w:rsidRDefault="00BE27D2" w:rsidP="007D41F7">
            <w:pPr>
              <w:pStyle w:val="ad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E27D2" w:rsidRPr="00F45984" w14:paraId="1966937D" w14:textId="77777777" w:rsidTr="005F6EF8">
        <w:trPr>
          <w:cantSplit/>
          <w:trHeight w:val="7480"/>
        </w:trPr>
        <w:tc>
          <w:tcPr>
            <w:tcW w:w="3260" w:type="dxa"/>
          </w:tcPr>
          <w:p w14:paraId="6C5EF770" w14:textId="77777777" w:rsidR="00BE27D2" w:rsidRPr="00F45984" w:rsidRDefault="00BE27D2" w:rsidP="007D41F7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124782C5" w14:textId="181C06A4" w:rsidR="00BE27D2" w:rsidRDefault="00BE27D2" w:rsidP="007D41F7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5984">
              <w:rPr>
                <w:rFonts w:ascii="Times New Roman" w:hAnsi="Times New Roman" w:cs="Times New Roman"/>
                <w:i/>
              </w:rPr>
              <w:t>Земельна ділянка з кадастровим номером 8000000000:</w:t>
            </w:r>
            <w:r w:rsidR="00135C6E" w:rsidRPr="00135C6E">
              <w:rPr>
                <w:rFonts w:ascii="Times New Roman" w:hAnsi="Times New Roman" w:cs="Times New Roman"/>
                <w:i/>
              </w:rPr>
              <w:t>63:241:0177</w:t>
            </w:r>
            <w:r w:rsidR="00135C6E">
              <w:t xml:space="preserve"> </w:t>
            </w:r>
            <w:r w:rsidRPr="00F45984">
              <w:rPr>
                <w:rFonts w:ascii="Times New Roman" w:hAnsi="Times New Roman" w:cs="Times New Roman"/>
                <w:i/>
              </w:rPr>
              <w:t xml:space="preserve">площею 0,0412 га сформована та зареєстрована в Державному земельному кадастрі відповідно до 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Закону України </w:t>
            </w:r>
            <w:hyperlink r:id="rId10" w:history="1">
              <w:r w:rsidRPr="00F45984">
                <w:rPr>
                  <w:rFonts w:ascii="Times New Roman" w:hAnsi="Times New Roman" w:cs="Times New Roman"/>
                  <w:i/>
                  <w:color w:val="000000" w:themeColor="text1"/>
                </w:rPr>
                <w:t>«Про Державний земельний кадастр»</w:t>
              </w:r>
            </w:hyperlink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підставі технічної документації із землеустрою щодо інвентаризації земель з видом цільового призначення - 14.02 для 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розміщення, будівництва, експлуатації та обслуговування будівель і споруд об’єктів передачі електричної енергії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06377608" w14:textId="1EDE3839" w:rsidR="001F3E83" w:rsidRPr="00F45984" w:rsidRDefault="001F3E83" w:rsidP="007D41F7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Вищезазначена т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ехнічна документація із землеустрою затверджена замовником відповідно до статті 186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 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Земельного кодексу України (в редакції чинній на момент розробки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технічної документації</w:t>
            </w:r>
            <w:r w:rsidR="000F2D9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01.07.2015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1563A87" w14:textId="77777777" w:rsidR="00BE27D2" w:rsidRPr="00F45984" w:rsidRDefault="00BE27D2" w:rsidP="007D41F7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</w:t>
            </w:r>
            <w:r w:rsidRPr="00F45984">
              <w:rPr>
                <w:rFonts w:ascii="Times New Roman" w:hAnsi="Times New Roman" w:cs="Times New Roman"/>
                <w:i/>
              </w:rPr>
              <w:t>на пленарних засіданнях сільської, селищної, міської ради.</w:t>
            </w:r>
          </w:p>
          <w:p w14:paraId="44103C03" w14:textId="77777777" w:rsidR="00BE27D2" w:rsidRPr="00F45984" w:rsidRDefault="00BE27D2" w:rsidP="007D41F7">
            <w:pPr>
              <w:pStyle w:val="ad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DDB194E" w14:textId="77777777" w:rsidR="00BE27D2" w:rsidRPr="00F45984" w:rsidRDefault="00BE27D2" w:rsidP="007D41F7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4598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4598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F34E733" w14:textId="77777777" w:rsidR="00BE27D2" w:rsidRPr="00F45984" w:rsidRDefault="00BE27D2" w:rsidP="00BE27D2">
      <w:pPr>
        <w:pStyle w:val="a7"/>
        <w:shd w:val="clear" w:color="auto" w:fill="auto"/>
        <w:rPr>
          <w:lang w:val="uk-UA"/>
        </w:rPr>
      </w:pPr>
    </w:p>
    <w:p w14:paraId="7B963942" w14:textId="77777777" w:rsidR="00BE27D2" w:rsidRPr="00F45984" w:rsidRDefault="00BE27D2" w:rsidP="00BE27D2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D1F9FD9" w14:textId="77777777" w:rsidR="00BE27D2" w:rsidRPr="00F45984" w:rsidRDefault="00BE27D2" w:rsidP="00BE27D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Загальні засади та порядок надання земельних ділянок у користування зацікавленим особам визначено Земельним кодексом </w:t>
      </w:r>
      <w:bookmarkStart w:id="0" w:name="_GoBack"/>
      <w:bookmarkEnd w:id="0"/>
      <w:r w:rsidRPr="00F45984">
        <w:rPr>
          <w:i w:val="0"/>
          <w:sz w:val="24"/>
          <w:szCs w:val="24"/>
          <w:lang w:val="uk-UA"/>
        </w:rPr>
        <w:t>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1441FDF" w14:textId="77777777" w:rsidR="00BE27D2" w:rsidRPr="00F45984" w:rsidRDefault="00BE27D2" w:rsidP="00BE27D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D245EFE" w14:textId="77777777" w:rsidR="00571A14" w:rsidRDefault="00571A14" w:rsidP="00571A14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5E90B8C" w14:textId="77777777" w:rsidR="00BE27D2" w:rsidRPr="00F45984" w:rsidRDefault="00BE27D2" w:rsidP="00BE27D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не містить інформації</w:t>
      </w:r>
      <w:r w:rsidRPr="00F45984">
        <w:rPr>
          <w:i w:val="0"/>
          <w:sz w:val="24"/>
          <w:szCs w:val="24"/>
          <w:shd w:val="clear" w:color="auto" w:fill="FFFFFF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F45984">
        <w:rPr>
          <w:i w:val="0"/>
          <w:sz w:val="24"/>
          <w:szCs w:val="24"/>
          <w:lang w:val="uk-UA"/>
        </w:rPr>
        <w:t>.</w:t>
      </w:r>
    </w:p>
    <w:p w14:paraId="286CBF18" w14:textId="77777777" w:rsidR="00BE27D2" w:rsidRPr="00F45984" w:rsidRDefault="00BE27D2" w:rsidP="00BE27D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EEBCF43" w14:textId="77777777" w:rsidR="00BE27D2" w:rsidRPr="00F45984" w:rsidRDefault="00BE27D2" w:rsidP="00BE27D2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677B2B7B" w14:textId="77777777" w:rsidR="00BE27D2" w:rsidRPr="00F45984" w:rsidRDefault="00BE27D2" w:rsidP="00BE27D2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B400E7B" w14:textId="77777777" w:rsidR="00BE27D2" w:rsidRPr="00F45984" w:rsidRDefault="00BE27D2" w:rsidP="00BE27D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доповненнями), </w:t>
      </w:r>
      <w:r w:rsidRPr="00F45984">
        <w:rPr>
          <w:i w:val="0"/>
          <w:sz w:val="24"/>
          <w:szCs w:val="24"/>
          <w:lang w:val="uk-UA"/>
        </w:rPr>
        <w:lastRenderedPageBreak/>
        <w:t xml:space="preserve">розрахунковий розмір земельного податку складатиме: </w:t>
      </w:r>
    </w:p>
    <w:p w14:paraId="63788E1A" w14:textId="5DA41F0E" w:rsidR="00BE27D2" w:rsidRPr="00F45984" w:rsidRDefault="00BE27D2" w:rsidP="00BE27D2">
      <w:pPr>
        <w:pStyle w:val="a4"/>
        <w:ind w:left="567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існуючий </w:t>
      </w:r>
      <w:r w:rsidR="006533B6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- </w:t>
      </w:r>
      <w:r w:rsidRPr="00F45984">
        <w:rPr>
          <w:bCs/>
          <w:i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6533B6">
        <w:rPr>
          <w:sz w:val="24"/>
          <w:szCs w:val="24"/>
          <w:lang w:val="uk-UA"/>
        </w:rPr>
        <w:t>2</w:t>
      </w:r>
      <w:r w:rsidRPr="00F45984">
        <w:rPr>
          <w:sz w:val="24"/>
          <w:szCs w:val="24"/>
          <w:lang w:val="uk-UA"/>
        </w:rPr>
        <w:t> </w:t>
      </w:r>
      <w:r w:rsidR="006533B6">
        <w:rPr>
          <w:sz w:val="24"/>
          <w:szCs w:val="24"/>
          <w:lang w:val="uk-UA"/>
        </w:rPr>
        <w:t>022</w:t>
      </w:r>
      <w:r w:rsidRPr="00F45984">
        <w:rPr>
          <w:sz w:val="24"/>
          <w:szCs w:val="24"/>
          <w:lang w:val="uk-UA"/>
        </w:rPr>
        <w:t xml:space="preserve"> 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6533B6">
        <w:rPr>
          <w:rStyle w:val="ac"/>
          <w:i w:val="0"/>
          <w:color w:val="000000" w:themeColor="text1"/>
          <w:sz w:val="24"/>
          <w:szCs w:val="24"/>
          <w:lang w:val="uk-UA"/>
        </w:rPr>
        <w:t>91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коп</w:t>
      </w:r>
      <w:r w:rsidR="00B20FF2">
        <w:rPr>
          <w:rStyle w:val="ac"/>
          <w:i w:val="0"/>
          <w:color w:val="000000" w:themeColor="text1"/>
          <w:sz w:val="24"/>
          <w:szCs w:val="24"/>
          <w:lang w:val="uk-UA"/>
        </w:rPr>
        <w:t>.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(1%);</w:t>
      </w:r>
    </w:p>
    <w:p w14:paraId="22F05A62" w14:textId="58E7E9B9" w:rsidR="00BE27D2" w:rsidRPr="00F45984" w:rsidRDefault="00BE27D2" w:rsidP="00BE27D2">
      <w:pPr>
        <w:pStyle w:val="a4"/>
        <w:ind w:left="567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proofErr w:type="spellStart"/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>проєктний</w:t>
      </w:r>
      <w:proofErr w:type="spellEnd"/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</w:t>
      </w:r>
      <w:r w:rsidR="006533B6">
        <w:rPr>
          <w:rStyle w:val="ac"/>
          <w:i w:val="0"/>
          <w:color w:val="000000" w:themeColor="text1"/>
          <w:sz w:val="24"/>
          <w:szCs w:val="24"/>
          <w:lang w:val="uk-UA"/>
        </w:rPr>
        <w:t>- 2</w:t>
      </w:r>
      <w:r w:rsidRPr="00F45984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533B6">
        <w:rPr>
          <w:bCs/>
          <w:color w:val="000000"/>
          <w:sz w:val="24"/>
          <w:szCs w:val="24"/>
          <w:shd w:val="clear" w:color="auto" w:fill="FFFFFF"/>
          <w:lang w:val="uk-UA"/>
        </w:rPr>
        <w:t>629</w:t>
      </w:r>
      <w:r w:rsidRPr="00F45984">
        <w:rPr>
          <w:rStyle w:val="ac"/>
          <w:i w:val="0"/>
          <w:sz w:val="24"/>
          <w:szCs w:val="24"/>
          <w:lang w:val="uk-UA"/>
        </w:rPr>
        <w:t xml:space="preserve"> 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6533B6">
        <w:rPr>
          <w:rStyle w:val="ac"/>
          <w:i w:val="0"/>
          <w:color w:val="000000" w:themeColor="text1"/>
          <w:sz w:val="24"/>
          <w:szCs w:val="24"/>
          <w:lang w:val="uk-UA"/>
        </w:rPr>
        <w:t>79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коп</w:t>
      </w:r>
      <w:r w:rsidR="00B20FF2">
        <w:rPr>
          <w:rStyle w:val="ac"/>
          <w:i w:val="0"/>
          <w:color w:val="000000" w:themeColor="text1"/>
          <w:sz w:val="24"/>
          <w:szCs w:val="24"/>
          <w:lang w:val="uk-UA"/>
        </w:rPr>
        <w:t>.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(1%).</w:t>
      </w:r>
    </w:p>
    <w:p w14:paraId="79C81A65" w14:textId="77777777" w:rsidR="00BE27D2" w:rsidRPr="00F45984" w:rsidRDefault="00BE27D2" w:rsidP="00BE27D2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</w:p>
    <w:p w14:paraId="0CA988C2" w14:textId="77777777" w:rsidR="00BE27D2" w:rsidRPr="00F45984" w:rsidRDefault="00BE27D2" w:rsidP="00BE27D2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F03BE3" w14:textId="77777777" w:rsidR="00BE27D2" w:rsidRPr="00F45984" w:rsidRDefault="00BE27D2" w:rsidP="00BE27D2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45984">
        <w:rPr>
          <w:i w:val="0"/>
          <w:sz w:val="24"/>
          <w:szCs w:val="24"/>
          <w:lang w:val="uk-UA"/>
        </w:rPr>
        <w:t>проєкту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1366342" w14:textId="77777777" w:rsidR="00BE27D2" w:rsidRPr="00F45984" w:rsidRDefault="00BE27D2" w:rsidP="00BE27D2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E8AB51D" w14:textId="77777777" w:rsidR="00BE27D2" w:rsidRPr="00F45984" w:rsidRDefault="00BE27D2" w:rsidP="00BE27D2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F4598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4598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0A530715" w14:textId="77777777" w:rsidR="00BE27D2" w:rsidRPr="00F45984" w:rsidRDefault="00BE27D2" w:rsidP="00BE27D2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2E437989" w14:textId="77777777" w:rsidR="00BE27D2" w:rsidRPr="00F45984" w:rsidRDefault="00BE27D2" w:rsidP="00BE27D2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6D9A4C7E" w14:textId="77777777" w:rsidR="00BE27D2" w:rsidRPr="00F45984" w:rsidRDefault="00BE27D2" w:rsidP="00BE27D2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E27D2" w:rsidRPr="00F45984" w14:paraId="03336126" w14:textId="77777777" w:rsidTr="007D41F7">
        <w:trPr>
          <w:trHeight w:val="663"/>
        </w:trPr>
        <w:tc>
          <w:tcPr>
            <w:tcW w:w="4814" w:type="dxa"/>
            <w:hideMark/>
          </w:tcPr>
          <w:p w14:paraId="537561CD" w14:textId="77777777" w:rsidR="00BE27D2" w:rsidRPr="00F45984" w:rsidRDefault="00BE27D2" w:rsidP="007D41F7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459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935E231" w14:textId="77777777" w:rsidR="00BE27D2" w:rsidRPr="00F45984" w:rsidRDefault="00BE27D2" w:rsidP="007D41F7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459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BE27D2">
      <w:pPr>
        <w:pStyle w:val="1"/>
        <w:shd w:val="clear" w:color="auto" w:fill="auto"/>
        <w:spacing w:after="40" w:line="233" w:lineRule="auto"/>
        <w:ind w:firstLine="567"/>
        <w:jc w:val="both"/>
      </w:pPr>
    </w:p>
    <w:sectPr w:rsidR="00FF1715" w:rsidRPr="00B30291" w:rsidSect="00782F11">
      <w:headerReference w:type="default" r:id="rId11"/>
      <w:footerReference w:type="default" r:id="rId12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0E9F" w14:textId="77777777" w:rsidR="001B1E7C" w:rsidRDefault="001B1E7C">
      <w:r>
        <w:separator/>
      </w:r>
    </w:p>
  </w:endnote>
  <w:endnote w:type="continuationSeparator" w:id="0">
    <w:p w14:paraId="537DF585" w14:textId="77777777" w:rsidR="001B1E7C" w:rsidRDefault="001B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46548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46548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846548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C3DEB" w14:textId="77777777" w:rsidR="001B1E7C" w:rsidRDefault="001B1E7C">
      <w:r>
        <w:separator/>
      </w:r>
    </w:p>
  </w:footnote>
  <w:footnote w:type="continuationSeparator" w:id="0">
    <w:p w14:paraId="108FCFBA" w14:textId="77777777" w:rsidR="001B1E7C" w:rsidRDefault="001B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345829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4FF750C" w:rsidR="00846548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ПЗН-77705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06.02.2025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gramStart"/>
        <w:r w:rsidR="00BE27D2">
          <w:rPr>
            <w:i w:val="0"/>
            <w:sz w:val="12"/>
            <w:szCs w:val="12"/>
            <w:lang w:val="uk-UA"/>
          </w:rPr>
          <w:t xml:space="preserve">справа </w:t>
        </w:r>
        <w:r w:rsidR="0012494D" w:rsidRPr="00800A09">
          <w:rPr>
            <w:i w:val="0"/>
            <w:sz w:val="12"/>
            <w:szCs w:val="12"/>
          </w:rPr>
          <w:t xml:space="preserve"> 555439729</w:t>
        </w:r>
        <w:proofErr w:type="gramEnd"/>
      </w:p>
      <w:p w14:paraId="3386C57A" w14:textId="581EB3DA" w:rsidR="00846548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F2D9B" w:rsidRPr="000F2D9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46548" w:rsidRDefault="0084654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F2D9B"/>
    <w:rsid w:val="0012494D"/>
    <w:rsid w:val="00135C6E"/>
    <w:rsid w:val="001675FB"/>
    <w:rsid w:val="00173F07"/>
    <w:rsid w:val="00174E19"/>
    <w:rsid w:val="001A7756"/>
    <w:rsid w:val="001B1E7C"/>
    <w:rsid w:val="001D3A82"/>
    <w:rsid w:val="001F3E83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1A14"/>
    <w:rsid w:val="005740F1"/>
    <w:rsid w:val="00581A44"/>
    <w:rsid w:val="005C003C"/>
    <w:rsid w:val="005D5C2D"/>
    <w:rsid w:val="005E2EFF"/>
    <w:rsid w:val="005F6EF8"/>
    <w:rsid w:val="00613118"/>
    <w:rsid w:val="0065190A"/>
    <w:rsid w:val="006533B6"/>
    <w:rsid w:val="006A34C6"/>
    <w:rsid w:val="007033CD"/>
    <w:rsid w:val="00706695"/>
    <w:rsid w:val="00725C6A"/>
    <w:rsid w:val="007312B1"/>
    <w:rsid w:val="00782F11"/>
    <w:rsid w:val="007C0899"/>
    <w:rsid w:val="007D4A0A"/>
    <w:rsid w:val="007E3A33"/>
    <w:rsid w:val="007F05B6"/>
    <w:rsid w:val="007F1356"/>
    <w:rsid w:val="00820317"/>
    <w:rsid w:val="00846548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20FF2"/>
    <w:rsid w:val="00B30291"/>
    <w:rsid w:val="00B84B97"/>
    <w:rsid w:val="00B96FCD"/>
    <w:rsid w:val="00BE27D2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571A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nau://ukr/3613-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39E4-EC2F-4382-9DF1-C07BBAD0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7841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Бережна Людмила Вікторівна</cp:lastModifiedBy>
  <cp:revision>46</cp:revision>
  <cp:lastPrinted>2025-02-14T12:03:00Z</cp:lastPrinted>
  <dcterms:created xsi:type="dcterms:W3CDTF">2020-11-18T11:16:00Z</dcterms:created>
  <dcterms:modified xsi:type="dcterms:W3CDTF">2025-02-14T12:04:00Z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