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5621" w14:textId="77777777" w:rsidR="00C55D6A" w:rsidRPr="00B0357E" w:rsidRDefault="00C55D6A" w:rsidP="00C55D6A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682A201" wp14:editId="5C8DBD47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36B83" w14:textId="03018282" w:rsidR="00C55D6A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16407136" w14:textId="77777777" w:rsidR="00C55D6A" w:rsidRPr="005156AF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540511924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2A20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0.25pt;margin-top:.85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AiqokD3gAA&#10;AAkBAAAPAAAAAAAAAAAAAAAAAPIDAABkcnMvZG93bnJldi54bWxQSwUGAAAAAAQABADzAAAA/QQA&#10;AAAA&#10;" filled="f" stroked="f">
                <v:textbox inset="0,0,0,0">
                  <w:txbxContent>
                    <w:p w14:paraId="58036B83" w14:textId="03018282" w:rsidR="00C55D6A" w:rsidRDefault="00C55D6A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16407136" w14:textId="77777777" w:rsidR="00C55D6A" w:rsidRPr="005156AF" w:rsidRDefault="00C55D6A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540511924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35F210CC" w14:textId="77777777" w:rsidR="00247BC9" w:rsidRDefault="00247BC9" w:rsidP="00A91671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AA5116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1B0501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AA5116">
        <w:rPr>
          <w:b/>
          <w:bCs/>
          <w:i w:val="0"/>
          <w:iCs w:val="0"/>
          <w:sz w:val="24"/>
          <w:szCs w:val="24"/>
          <w:lang w:val="ru-RU"/>
        </w:rPr>
        <w:t xml:space="preserve">-63141 </w:t>
      </w:r>
      <w:proofErr w:type="spellStart"/>
      <w:r w:rsidRPr="00AA5116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AA5116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AA5116">
        <w:rPr>
          <w:b/>
          <w:bCs/>
          <w:i w:val="0"/>
          <w:sz w:val="24"/>
          <w:szCs w:val="24"/>
          <w:lang w:val="ru-RU"/>
        </w:rPr>
        <w:t>05.11.2024</w:t>
      </w:r>
    </w:p>
    <w:p w14:paraId="227B2FAA" w14:textId="77777777" w:rsidR="00C55D6A" w:rsidRPr="00F50656" w:rsidRDefault="005036A3" w:rsidP="00A9167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4A3407B" wp14:editId="45ED99E8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6A" w:rsidRPr="00F50656">
        <w:rPr>
          <w:i w:val="0"/>
          <w:iCs w:val="0"/>
          <w:sz w:val="24"/>
          <w:szCs w:val="24"/>
          <w:lang w:val="ru-RU"/>
        </w:rPr>
        <w:t xml:space="preserve">до проєкту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ради</w:t>
      </w:r>
      <w:r w:rsidR="00C55D6A" w:rsidRPr="00F50656">
        <w:rPr>
          <w:i w:val="0"/>
          <w:sz w:val="24"/>
          <w:szCs w:val="24"/>
          <w:lang w:val="ru-RU"/>
        </w:rPr>
        <w:t>:</w:t>
      </w:r>
    </w:p>
    <w:p w14:paraId="5CE7EC70" w14:textId="5F65819F" w:rsidR="00C55D6A" w:rsidRPr="00AA5116" w:rsidRDefault="00AA5116" w:rsidP="00AA511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AA5116">
        <w:rPr>
          <w:b/>
          <w:i/>
          <w:spacing w:val="-4"/>
          <w:sz w:val="24"/>
          <w:szCs w:val="24"/>
          <w:lang w:val="uk-UA"/>
        </w:rPr>
        <w:t>Про продаж земельної ділянки</w:t>
      </w:r>
      <w:r w:rsidRPr="00AA5116">
        <w:rPr>
          <w:b/>
          <w:i/>
          <w:spacing w:val="-4"/>
          <w:sz w:val="24"/>
          <w:szCs w:val="24"/>
          <w:lang w:val="uk-UA"/>
        </w:rPr>
        <w:br/>
        <w:t>на</w:t>
      </w:r>
      <w:r w:rsidRPr="00AA5116">
        <w:rPr>
          <w:rStyle w:val="20"/>
          <w:b/>
          <w:i/>
          <w:sz w:val="24"/>
          <w:szCs w:val="24"/>
        </w:rPr>
        <w:t xml:space="preserve"> </w:t>
      </w:r>
      <w:proofErr w:type="spellStart"/>
      <w:r w:rsidRPr="00AA5116">
        <w:rPr>
          <w:rStyle w:val="ac"/>
          <w:b/>
          <w:sz w:val="24"/>
          <w:szCs w:val="24"/>
          <w:lang w:val="ru-RU"/>
        </w:rPr>
        <w:t>вул</w:t>
      </w:r>
      <w:proofErr w:type="spellEnd"/>
      <w:r w:rsidRPr="00AA5116">
        <w:rPr>
          <w:rStyle w:val="ac"/>
          <w:b/>
          <w:sz w:val="24"/>
          <w:szCs w:val="24"/>
          <w:lang w:val="ru-RU"/>
        </w:rPr>
        <w:t xml:space="preserve">. </w:t>
      </w:r>
      <w:proofErr w:type="spellStart"/>
      <w:r w:rsidRPr="00AA5116">
        <w:rPr>
          <w:rStyle w:val="ac"/>
          <w:b/>
          <w:sz w:val="24"/>
          <w:szCs w:val="24"/>
          <w:lang w:val="ru-RU"/>
        </w:rPr>
        <w:t>Богатирськ</w:t>
      </w:r>
      <w:r w:rsidRPr="00AA5116">
        <w:rPr>
          <w:rStyle w:val="ac"/>
          <w:b/>
          <w:sz w:val="24"/>
          <w:szCs w:val="24"/>
          <w:lang w:val="uk-UA"/>
        </w:rPr>
        <w:t>ій</w:t>
      </w:r>
      <w:proofErr w:type="spellEnd"/>
      <w:r w:rsidRPr="00AA5116">
        <w:rPr>
          <w:rStyle w:val="ac"/>
          <w:b/>
          <w:sz w:val="24"/>
          <w:szCs w:val="24"/>
          <w:lang w:val="ru-RU"/>
        </w:rPr>
        <w:t>, 2</w:t>
      </w:r>
      <w:r w:rsidRPr="00AA5116">
        <w:rPr>
          <w:rStyle w:val="ac"/>
          <w:b/>
          <w:sz w:val="24"/>
          <w:szCs w:val="24"/>
          <w:lang w:val="uk-UA"/>
        </w:rPr>
        <w:t>-Г</w:t>
      </w:r>
      <w:r w:rsidRPr="00AA5116">
        <w:rPr>
          <w:b/>
          <w:i/>
          <w:spacing w:val="-4"/>
          <w:sz w:val="24"/>
          <w:szCs w:val="24"/>
          <w:lang w:val="uk-UA"/>
        </w:rPr>
        <w:t xml:space="preserve"> в </w:t>
      </w:r>
      <w:proofErr w:type="spellStart"/>
      <w:r w:rsidRPr="00AA5116">
        <w:rPr>
          <w:rStyle w:val="ac"/>
          <w:b/>
          <w:sz w:val="24"/>
          <w:szCs w:val="24"/>
          <w:lang w:val="ru-RU"/>
        </w:rPr>
        <w:t>Оболонському</w:t>
      </w:r>
      <w:proofErr w:type="spellEnd"/>
      <w:r w:rsidRPr="00AA5116">
        <w:rPr>
          <w:b/>
          <w:i/>
          <w:spacing w:val="-4"/>
          <w:sz w:val="24"/>
          <w:szCs w:val="24"/>
          <w:lang w:val="uk-UA"/>
        </w:rPr>
        <w:t xml:space="preserve"> </w:t>
      </w:r>
      <w:proofErr w:type="gramStart"/>
      <w:r w:rsidRPr="00AA5116">
        <w:rPr>
          <w:b/>
          <w:i/>
          <w:spacing w:val="-4"/>
          <w:sz w:val="24"/>
          <w:szCs w:val="24"/>
          <w:lang w:val="uk-UA"/>
        </w:rPr>
        <w:t>районі  м.</w:t>
      </w:r>
      <w:proofErr w:type="gramEnd"/>
      <w:r w:rsidRPr="00AA5116">
        <w:rPr>
          <w:b/>
          <w:i/>
          <w:spacing w:val="-4"/>
          <w:sz w:val="24"/>
          <w:szCs w:val="24"/>
          <w:lang w:val="uk-UA"/>
        </w:rPr>
        <w:t xml:space="preserve"> Києва </w:t>
      </w:r>
      <w:proofErr w:type="spellStart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>Іванченку</w:t>
      </w:r>
      <w:proofErr w:type="spellEnd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 xml:space="preserve"> </w:t>
      </w:r>
      <w:proofErr w:type="spellStart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>Олександру</w:t>
      </w:r>
      <w:proofErr w:type="spellEnd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 xml:space="preserve"> </w:t>
      </w:r>
      <w:proofErr w:type="spellStart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>Вікторовичу</w:t>
      </w:r>
      <w:proofErr w:type="spellEnd"/>
      <w:r w:rsidRPr="00AA5116">
        <w:rPr>
          <w:b/>
          <w:i/>
          <w:sz w:val="24"/>
          <w:szCs w:val="24"/>
          <w:lang w:val="uk-UA"/>
        </w:rPr>
        <w:t xml:space="preserve"> </w:t>
      </w:r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 xml:space="preserve">для </w:t>
      </w:r>
      <w:proofErr w:type="spellStart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>будівництва</w:t>
      </w:r>
      <w:proofErr w:type="spellEnd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 xml:space="preserve"> та </w:t>
      </w:r>
      <w:proofErr w:type="spellStart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>обслуговування</w:t>
      </w:r>
      <w:proofErr w:type="spellEnd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 xml:space="preserve"> </w:t>
      </w:r>
      <w:proofErr w:type="spellStart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>будівель</w:t>
      </w:r>
      <w:proofErr w:type="spellEnd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 xml:space="preserve"> </w:t>
      </w:r>
      <w:proofErr w:type="spellStart"/>
      <w:r w:rsidRPr="00AA5116">
        <w:rPr>
          <w:rFonts w:eastAsia="Calibri"/>
          <w:b/>
          <w:i/>
          <w:sz w:val="24"/>
          <w:szCs w:val="24"/>
          <w:highlight w:val="white"/>
          <w:lang w:val="ru-RU"/>
        </w:rPr>
        <w:t>торгівлі</w:t>
      </w:r>
      <w:proofErr w:type="spellEnd"/>
    </w:p>
    <w:p w14:paraId="48667634" w14:textId="77777777" w:rsidR="00C55D6A" w:rsidRPr="00AA5116" w:rsidRDefault="00C55D6A" w:rsidP="00C55D6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1DD189DA" w14:textId="4825F4F4" w:rsidR="00C55D6A" w:rsidRPr="00670F38" w:rsidRDefault="00AA5116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  <w:lang w:val="uk-UA"/>
        </w:rPr>
        <w:t>Фізична</w:t>
      </w:r>
      <w:r w:rsidR="00C55D6A" w:rsidRPr="00CF2418">
        <w:rPr>
          <w:sz w:val="24"/>
          <w:szCs w:val="24"/>
        </w:rPr>
        <w:t xml:space="preserve"> </w:t>
      </w:r>
      <w:proofErr w:type="spellStart"/>
      <w:r w:rsidR="00C55D6A" w:rsidRPr="00CF2418">
        <w:rPr>
          <w:sz w:val="24"/>
          <w:szCs w:val="24"/>
        </w:rPr>
        <w:t>особа</w:t>
      </w:r>
      <w:proofErr w:type="spellEnd"/>
      <w:r w:rsidR="00C55D6A" w:rsidRPr="00CF2418">
        <w:rPr>
          <w:sz w:val="24"/>
          <w:szCs w:val="24"/>
        </w:rPr>
        <w:t>: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6"/>
        <w:gridCol w:w="6231"/>
      </w:tblGrid>
      <w:tr w:rsidR="00C55D6A" w:rsidRPr="00CF2418" w14:paraId="56D9A484" w14:textId="77777777" w:rsidTr="00053AAC">
        <w:trPr>
          <w:cantSplit/>
          <w:trHeight w:val="341"/>
        </w:trPr>
        <w:tc>
          <w:tcPr>
            <w:tcW w:w="3266" w:type="dxa"/>
          </w:tcPr>
          <w:p w14:paraId="0AA22553" w14:textId="74284D64" w:rsidR="00C55D6A" w:rsidRPr="00CF2418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A5116">
              <w:t>ПІБ</w:t>
            </w:r>
          </w:p>
        </w:tc>
        <w:tc>
          <w:tcPr>
            <w:tcW w:w="6231" w:type="dxa"/>
          </w:tcPr>
          <w:p w14:paraId="097E8C51" w14:textId="77777777" w:rsidR="00C55D6A" w:rsidRPr="006231B5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6231B5">
              <w:rPr>
                <w:b w:val="0"/>
                <w:i/>
                <w:sz w:val="24"/>
                <w:szCs w:val="24"/>
              </w:rPr>
              <w:t>Іванченко</w:t>
            </w:r>
            <w:proofErr w:type="spellEnd"/>
            <w:r w:rsidRPr="006231B5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6231B5">
              <w:rPr>
                <w:b w:val="0"/>
                <w:i/>
                <w:sz w:val="24"/>
                <w:szCs w:val="24"/>
              </w:rPr>
              <w:t>Олександр</w:t>
            </w:r>
            <w:proofErr w:type="spellEnd"/>
            <w:r w:rsidRPr="006231B5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6231B5">
              <w:rPr>
                <w:b w:val="0"/>
                <w:i/>
                <w:sz w:val="24"/>
                <w:szCs w:val="24"/>
              </w:rPr>
              <w:t>Вікторович</w:t>
            </w:r>
            <w:proofErr w:type="spellEnd"/>
          </w:p>
        </w:tc>
      </w:tr>
      <w:tr w:rsidR="00C55D6A" w:rsidRPr="00CF2418" w14:paraId="3F066249" w14:textId="77777777" w:rsidTr="00AA5116">
        <w:trPr>
          <w:cantSplit/>
          <w:trHeight w:val="261"/>
        </w:trPr>
        <w:tc>
          <w:tcPr>
            <w:tcW w:w="3266" w:type="dxa"/>
          </w:tcPr>
          <w:p w14:paraId="7AD84C9E" w14:textId="77777777" w:rsidR="00C55D6A" w:rsidRPr="008A789E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8A789E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31" w:type="dxa"/>
          </w:tcPr>
          <w:p w14:paraId="57003BE3" w14:textId="7A5ADB74" w:rsidR="00C55D6A" w:rsidRPr="006231B5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231B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</w:rPr>
              <w:t>15.02.2024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6231B5">
              <w:rPr>
                <w:b w:val="0"/>
                <w:i/>
                <w:sz w:val="24"/>
                <w:szCs w:val="24"/>
              </w:rPr>
              <w:t>540511924</w:t>
            </w:r>
          </w:p>
        </w:tc>
      </w:tr>
    </w:tbl>
    <w:p w14:paraId="72F556CB" w14:textId="77777777" w:rsidR="00C55D6A" w:rsidRPr="008A789E" w:rsidRDefault="00C55D6A" w:rsidP="00C55D6A">
      <w:pPr>
        <w:spacing w:line="1" w:lineRule="exact"/>
      </w:pPr>
    </w:p>
    <w:p w14:paraId="787366F8" w14:textId="77777777" w:rsidR="00C55D6A" w:rsidRPr="005036A3" w:rsidRDefault="00C55D6A" w:rsidP="00C55D6A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7E423C90" w14:textId="77777777" w:rsidR="00C55D6A" w:rsidRPr="00BE5B9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 w:rsidR="00793063"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AA5116">
        <w:rPr>
          <w:sz w:val="24"/>
          <w:szCs w:val="24"/>
          <w:lang w:val="ru-RU"/>
        </w:rPr>
        <w:t>8000000000:78:046:0075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6331"/>
      </w:tblGrid>
      <w:tr w:rsidR="00C55D6A" w14:paraId="13BB193D" w14:textId="77777777" w:rsidTr="00AA5116">
        <w:trPr>
          <w:trHeight w:hRule="exact" w:val="422"/>
        </w:trPr>
        <w:tc>
          <w:tcPr>
            <w:tcW w:w="3166" w:type="dxa"/>
            <w:shd w:val="clear" w:color="auto" w:fill="FFFFFF"/>
          </w:tcPr>
          <w:p w14:paraId="4E1A65E9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9928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Місце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C55D6A" w:rsidRPr="00CF2418">
              <w:rPr>
                <w:sz w:val="24"/>
                <w:szCs w:val="24"/>
              </w:rPr>
              <w:t>адреса</w:t>
            </w:r>
            <w:proofErr w:type="spellEnd"/>
            <w:r w:rsidR="00C55D6A" w:rsidRPr="00CF2418">
              <w:rPr>
                <w:sz w:val="24"/>
                <w:szCs w:val="24"/>
              </w:rPr>
              <w:t>)</w:t>
            </w:r>
          </w:p>
        </w:tc>
        <w:tc>
          <w:tcPr>
            <w:tcW w:w="6331" w:type="dxa"/>
            <w:shd w:val="clear" w:color="auto" w:fill="FFFFFF"/>
          </w:tcPr>
          <w:p w14:paraId="65C47063" w14:textId="31E88543" w:rsidR="00C55D6A" w:rsidRPr="00AA5116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AA5116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AA5116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A5116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AA5116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AA5116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A5116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AA5116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AA5116">
              <w:rPr>
                <w:i/>
                <w:iCs/>
                <w:sz w:val="24"/>
                <w:szCs w:val="24"/>
              </w:rPr>
              <w:t>Богатирська</w:t>
            </w:r>
            <w:proofErr w:type="spellEnd"/>
            <w:r w:rsidR="00AA5116">
              <w:rPr>
                <w:i/>
                <w:iCs/>
                <w:sz w:val="24"/>
                <w:szCs w:val="24"/>
              </w:rPr>
              <w:t>, 2-</w:t>
            </w:r>
            <w:r w:rsidR="00AA5116">
              <w:rPr>
                <w:i/>
                <w:iCs/>
                <w:sz w:val="24"/>
                <w:szCs w:val="24"/>
                <w:lang w:val="uk-UA"/>
              </w:rPr>
              <w:t>Г</w:t>
            </w:r>
          </w:p>
          <w:p w14:paraId="3C187083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10A136AC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C55D6A" w14:paraId="636036DA" w14:textId="77777777" w:rsidTr="006231B5">
        <w:trPr>
          <w:trHeight w:hRule="exact" w:val="274"/>
        </w:trPr>
        <w:tc>
          <w:tcPr>
            <w:tcW w:w="3166" w:type="dxa"/>
            <w:shd w:val="clear" w:color="auto" w:fill="FFFFFF"/>
          </w:tcPr>
          <w:p w14:paraId="0BC3E7D8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75A20329" w14:textId="77777777" w:rsidR="00C55D6A" w:rsidRPr="006231B5" w:rsidRDefault="001C374B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231B5">
              <w:rPr>
                <w:rFonts w:eastAsiaTheme="minorHAnsi"/>
                <w:i/>
                <w:sz w:val="24"/>
                <w:szCs w:val="24"/>
                <w:highlight w:val="white"/>
              </w:rPr>
              <w:t>0,0400</w:t>
            </w:r>
            <w:r w:rsidR="001B5701" w:rsidRPr="006231B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C55D6A" w14:paraId="32056BC9" w14:textId="77777777" w:rsidTr="006231B5">
        <w:trPr>
          <w:trHeight w:hRule="exact" w:val="279"/>
        </w:trPr>
        <w:tc>
          <w:tcPr>
            <w:tcW w:w="3166" w:type="dxa"/>
            <w:shd w:val="clear" w:color="auto" w:fill="FFFFFF"/>
            <w:vAlign w:val="bottom"/>
          </w:tcPr>
          <w:p w14:paraId="7D2525E1" w14:textId="77777777" w:rsidR="00C55D6A" w:rsidRPr="00726D11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Вид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та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термін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331" w:type="dxa"/>
            <w:shd w:val="clear" w:color="auto" w:fill="FFFFFF"/>
            <w:vAlign w:val="bottom"/>
          </w:tcPr>
          <w:p w14:paraId="152B1D08" w14:textId="46D6907D" w:rsidR="00C55D6A" w:rsidRPr="006231B5" w:rsidRDefault="00AD2513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6231B5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AA5116">
              <w:rPr>
                <w:i/>
                <w:sz w:val="24"/>
                <w:szCs w:val="24"/>
                <w:lang w:val="ru-RU"/>
              </w:rPr>
              <w:t>власність</w:t>
            </w:r>
            <w:proofErr w:type="spellEnd"/>
            <w:r w:rsidRPr="006231B5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793063" w14:paraId="406790C8" w14:textId="77777777" w:rsidTr="00053AAC">
        <w:trPr>
          <w:trHeight w:hRule="exact" w:val="281"/>
        </w:trPr>
        <w:tc>
          <w:tcPr>
            <w:tcW w:w="3166" w:type="dxa"/>
            <w:shd w:val="clear" w:color="auto" w:fill="FFFFFF"/>
          </w:tcPr>
          <w:p w14:paraId="71D12222" w14:textId="70A59946" w:rsidR="00793063" w:rsidRPr="00793063" w:rsidRDefault="00CB5B68" w:rsidP="00AA511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CB5B68">
              <w:rPr>
                <w:sz w:val="24"/>
                <w:szCs w:val="24"/>
                <w:lang w:val="ru-RU"/>
              </w:rPr>
              <w:t xml:space="preserve"> </w:t>
            </w:r>
            <w:r w:rsidR="00AA5116">
              <w:rPr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="00AA5116"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 w:rsidR="00AA51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5116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="00AA511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31" w:type="dxa"/>
            <w:shd w:val="clear" w:color="auto" w:fill="FFFFFF"/>
          </w:tcPr>
          <w:p w14:paraId="5167454F" w14:textId="468D7CBA" w:rsidR="00AA5116" w:rsidRPr="00AA5116" w:rsidRDefault="003E5F65" w:rsidP="003E5F65">
            <w:pPr>
              <w:pStyle w:val="a4"/>
              <w:shd w:val="clear" w:color="auto" w:fill="auto"/>
              <w:spacing w:line="266" w:lineRule="auto"/>
              <w:rPr>
                <w:rFonts w:eastAsia="Georgia"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03.07 для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AA5116" w:rsidRPr="00AA5116">
              <w:rPr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AA5116" w:rsidRPr="00AA511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5116" w:rsidRPr="00AA5116">
              <w:rPr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="00AA5116" w:rsidRPr="00AA511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5116" w:rsidRPr="00AA5116">
              <w:rPr>
                <w:i/>
                <w:sz w:val="24"/>
                <w:szCs w:val="24"/>
                <w:lang w:val="ru-RU"/>
              </w:rPr>
              <w:t>торгівлі</w:t>
            </w:r>
            <w:proofErr w:type="spellEnd"/>
            <w:r w:rsidR="00AA5116" w:rsidRPr="00AA5116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7F176AC2" w14:textId="01DB3405" w:rsidR="00793063" w:rsidRPr="006231B5" w:rsidRDefault="00793063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3E5F65" w14:paraId="7C800F3D" w14:textId="77777777" w:rsidTr="003E5F65">
        <w:trPr>
          <w:trHeight w:hRule="exact" w:val="276"/>
        </w:trPr>
        <w:tc>
          <w:tcPr>
            <w:tcW w:w="3166" w:type="dxa"/>
            <w:shd w:val="clear" w:color="auto" w:fill="FFFFFF"/>
          </w:tcPr>
          <w:p w14:paraId="26046241" w14:textId="287E7650" w:rsidR="003E5F65" w:rsidRPr="00CB5B68" w:rsidRDefault="00A759B1" w:rsidP="00AA511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5F65">
              <w:rPr>
                <w:sz w:val="24"/>
                <w:szCs w:val="24"/>
                <w:lang w:val="ru-RU"/>
              </w:rPr>
              <w:t>Категорія</w:t>
            </w:r>
            <w:proofErr w:type="spellEnd"/>
            <w:r w:rsidR="003E5F65">
              <w:rPr>
                <w:sz w:val="24"/>
                <w:szCs w:val="24"/>
                <w:lang w:val="ru-RU"/>
              </w:rPr>
              <w:t xml:space="preserve"> земель</w:t>
            </w:r>
          </w:p>
        </w:tc>
        <w:tc>
          <w:tcPr>
            <w:tcW w:w="6331" w:type="dxa"/>
            <w:shd w:val="clear" w:color="auto" w:fill="FFFFFF"/>
          </w:tcPr>
          <w:p w14:paraId="113A168E" w14:textId="2CBD1236" w:rsidR="003E5F65" w:rsidRDefault="003E5F65" w:rsidP="003E5F65">
            <w:pPr>
              <w:pStyle w:val="a4"/>
              <w:shd w:val="clear" w:color="auto" w:fill="auto"/>
              <w:spacing w:line="266" w:lineRule="auto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793063" w14:paraId="7A8B3258" w14:textId="77777777" w:rsidTr="00411D93">
        <w:trPr>
          <w:trHeight w:hRule="exact" w:val="281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FFFFFF"/>
          </w:tcPr>
          <w:p w14:paraId="602A2FAE" w14:textId="77777777" w:rsidR="00793063" w:rsidRPr="003E5F65" w:rsidRDefault="00CB5B68" w:rsidP="005D752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3E5F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 w:rsidRPr="003E5F65">
              <w:rPr>
                <w:sz w:val="24"/>
                <w:szCs w:val="24"/>
                <w:lang w:val="ru-RU"/>
              </w:rPr>
              <w:t>Експертна</w:t>
            </w:r>
            <w:proofErr w:type="spellEnd"/>
            <w:r w:rsidR="00793063" w:rsidRPr="003E5F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 w:rsidRPr="003E5F65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793063" w:rsidRPr="003E5F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 w:rsidRPr="003E5F65"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FF"/>
          </w:tcPr>
          <w:p w14:paraId="4D741D0C" w14:textId="347CAA6B" w:rsidR="00793063" w:rsidRPr="003E5F65" w:rsidRDefault="003E5F65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highlight w:val="cyan"/>
                <w:lang w:val="uk-UA"/>
              </w:rPr>
            </w:pPr>
            <w:r>
              <w:rPr>
                <w:i/>
                <w:sz w:val="24"/>
                <w:szCs w:val="24"/>
              </w:rPr>
              <w:t>1 894 </w:t>
            </w:r>
            <w:r>
              <w:rPr>
                <w:i/>
                <w:sz w:val="24"/>
                <w:szCs w:val="24"/>
                <w:lang w:val="uk-UA"/>
              </w:rPr>
              <w:t>000,00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грн</w:t>
            </w:r>
            <w:proofErr w:type="spellEnd"/>
            <w:r>
              <w:rPr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sz w:val="24"/>
                <w:szCs w:val="24"/>
              </w:rPr>
              <w:t>дата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оцінки</w:t>
            </w:r>
            <w:proofErr w:type="spellEnd"/>
            <w:r>
              <w:rPr>
                <w:i/>
                <w:sz w:val="24"/>
                <w:szCs w:val="24"/>
              </w:rPr>
              <w:t xml:space="preserve"> – 01.11</w:t>
            </w:r>
            <w:r w:rsidRPr="003E5F65">
              <w:rPr>
                <w:i/>
                <w:sz w:val="24"/>
                <w:szCs w:val="24"/>
              </w:rPr>
              <w:t>.2024)</w:t>
            </w:r>
          </w:p>
        </w:tc>
      </w:tr>
    </w:tbl>
    <w:p w14:paraId="491743C4" w14:textId="77777777" w:rsidR="00C55D6A" w:rsidRDefault="00C55D6A" w:rsidP="00C55D6A">
      <w:pPr>
        <w:spacing w:after="259" w:line="1" w:lineRule="exact"/>
      </w:pPr>
    </w:p>
    <w:p w14:paraId="1C8FA254" w14:textId="77777777" w:rsidR="00C55D6A" w:rsidRPr="00E85A60" w:rsidRDefault="00C55D6A" w:rsidP="00E85A60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4D53281D" w14:textId="210452B2" w:rsidR="00C55D6A" w:rsidRPr="00E85A60" w:rsidRDefault="00C55D6A" w:rsidP="00C55D6A">
      <w:pPr>
        <w:pStyle w:val="1"/>
        <w:shd w:val="clear" w:color="auto" w:fill="auto"/>
        <w:ind w:left="284" w:firstLine="156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</w:t>
      </w:r>
      <w:r w:rsidR="008354C4">
        <w:rPr>
          <w:i w:val="0"/>
          <w:sz w:val="24"/>
          <w:szCs w:val="24"/>
          <w:lang w:val="uk-UA"/>
        </w:rPr>
        <w:t>а</w:t>
      </w:r>
      <w:bookmarkStart w:id="0" w:name="_GoBack"/>
      <w:bookmarkEnd w:id="0"/>
      <w:r w:rsidRPr="00E85A60">
        <w:rPr>
          <w:i w:val="0"/>
          <w:sz w:val="24"/>
          <w:szCs w:val="24"/>
          <w:lang w:val="uk-UA"/>
        </w:rPr>
        <w:t xml:space="preserve"> </w:t>
      </w:r>
      <w:r w:rsidR="00A759B1">
        <w:rPr>
          <w:i w:val="0"/>
          <w:sz w:val="24"/>
          <w:szCs w:val="24"/>
          <w:lang w:val="uk-UA"/>
        </w:rPr>
        <w:t>фізичної</w:t>
      </w:r>
      <w:r w:rsidR="00E85A60" w:rsidRPr="00E85A60">
        <w:rPr>
          <w:i w:val="0"/>
          <w:sz w:val="24"/>
          <w:szCs w:val="24"/>
          <w:lang w:val="uk-UA"/>
        </w:rPr>
        <w:t xml:space="preserve"> </w:t>
      </w:r>
      <w:r w:rsidR="00A759B1">
        <w:rPr>
          <w:i w:val="0"/>
          <w:sz w:val="24"/>
          <w:szCs w:val="24"/>
          <w:lang w:val="uk-UA"/>
        </w:rPr>
        <w:t>осо</w:t>
      </w:r>
      <w:r w:rsidR="00E85A60" w:rsidRPr="00E85A60">
        <w:rPr>
          <w:i w:val="0"/>
          <w:sz w:val="24"/>
          <w:szCs w:val="24"/>
          <w:lang w:val="uk-UA"/>
        </w:rPr>
        <w:t>б</w:t>
      </w:r>
      <w:r w:rsidR="00A759B1">
        <w:rPr>
          <w:i w:val="0"/>
          <w:sz w:val="24"/>
          <w:szCs w:val="24"/>
          <w:lang w:val="uk-UA"/>
        </w:rPr>
        <w:t>и</w:t>
      </w:r>
      <w:r w:rsidRPr="00E85A60">
        <w:rPr>
          <w:i w:val="0"/>
          <w:sz w:val="24"/>
          <w:szCs w:val="24"/>
          <w:lang w:val="uk-UA"/>
        </w:rPr>
        <w:t xml:space="preserve"> на </w:t>
      </w:r>
      <w:r w:rsidR="00E85A60" w:rsidRPr="00E85A60">
        <w:rPr>
          <w:i w:val="0"/>
          <w:sz w:val="24"/>
          <w:szCs w:val="24"/>
          <w:lang w:val="uk-UA"/>
        </w:rPr>
        <w:t>придбання земельних ділянок у власність</w:t>
      </w:r>
      <w:r w:rsidR="00E85A60">
        <w:rPr>
          <w:i w:val="0"/>
          <w:sz w:val="24"/>
          <w:szCs w:val="24"/>
          <w:lang w:val="uk-UA"/>
        </w:rPr>
        <w:t>.</w:t>
      </w:r>
    </w:p>
    <w:p w14:paraId="0A36B1D6" w14:textId="77777777" w:rsidR="00C55D6A" w:rsidRPr="00E85A60" w:rsidRDefault="00C55D6A" w:rsidP="00C55D6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6F51154A" w14:textId="77777777" w:rsidR="00C55D6A" w:rsidRPr="00C7476E" w:rsidRDefault="00E85A60" w:rsidP="00C55D6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="00C55D6A" w:rsidRPr="00C7476E">
        <w:rPr>
          <w:sz w:val="24"/>
          <w:szCs w:val="24"/>
        </w:rPr>
        <w:t xml:space="preserve">. </w:t>
      </w:r>
      <w:proofErr w:type="spellStart"/>
      <w:r w:rsidR="00C55D6A" w:rsidRPr="00C7476E">
        <w:rPr>
          <w:sz w:val="24"/>
          <w:szCs w:val="24"/>
        </w:rPr>
        <w:t>Особливі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характеристики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ділянки</w:t>
      </w:r>
      <w:proofErr w:type="spellEnd"/>
      <w:r w:rsidR="00C55D6A"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48"/>
        <w:gridCol w:w="6349"/>
      </w:tblGrid>
      <w:tr w:rsidR="00C55D6A" w:rsidRPr="0070402C" w14:paraId="40E19E96" w14:textId="77777777" w:rsidTr="008B5C92">
        <w:trPr>
          <w:trHeight w:val="2043"/>
        </w:trPr>
        <w:tc>
          <w:tcPr>
            <w:tcW w:w="3148" w:type="dxa"/>
          </w:tcPr>
          <w:p w14:paraId="14AA9AB7" w14:textId="77777777" w:rsidR="00CB5B68" w:rsidRPr="00CB5B68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6FFE286F" w14:textId="77777777" w:rsidR="00C55D6A" w:rsidRPr="006231B5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49" w:type="dxa"/>
          </w:tcPr>
          <w:p w14:paraId="04620EE2" w14:textId="36D6D9DD" w:rsidR="00C55D6A" w:rsidRPr="00053AAC" w:rsidRDefault="00E85A60" w:rsidP="008B5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D778E">
              <w:rPr>
                <w:rFonts w:ascii="Times New Roman" w:eastAsia="Times New Roman" w:hAnsi="Times New Roman" w:cs="Times New Roman"/>
                <w:i/>
              </w:rPr>
              <w:t>Н</w:t>
            </w:r>
            <w:r w:rsidR="00505478">
              <w:rPr>
                <w:rFonts w:ascii="Times New Roman" w:eastAsia="Times New Roman" w:hAnsi="Times New Roman" w:cs="Times New Roman"/>
                <w:i/>
              </w:rPr>
              <w:t xml:space="preserve">а земельній ділянці розташована нежитлова будівля загальною площею 39,9 </w:t>
            </w:r>
            <w:proofErr w:type="spellStart"/>
            <w:r w:rsidRPr="002D778E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2D778E">
              <w:rPr>
                <w:rFonts w:ascii="Times New Roman" w:eastAsia="Times New Roman" w:hAnsi="Times New Roman" w:cs="Times New Roman"/>
                <w:i/>
              </w:rPr>
              <w:t>.,</w:t>
            </w:r>
            <w:r w:rsidR="002D77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05478">
              <w:rPr>
                <w:rFonts w:ascii="Times New Roman" w:eastAsia="Times New Roman" w:hAnsi="Times New Roman" w:cs="Times New Roman"/>
                <w:i/>
              </w:rPr>
              <w:t xml:space="preserve">яка є власністю громадянина Іванченка О.В. </w:t>
            </w:r>
            <w:r w:rsidR="00505478" w:rsidRPr="00505478">
              <w:rPr>
                <w:rFonts w:ascii="Times New Roman" w:eastAsia="Times New Roman" w:hAnsi="Times New Roman" w:cs="Times New Roman"/>
                <w:i/>
              </w:rPr>
              <w:t>(право власності зареєстровано у Дер</w:t>
            </w:r>
            <w:r w:rsidR="00505478">
              <w:rPr>
                <w:rFonts w:ascii="Times New Roman" w:eastAsia="Times New Roman" w:hAnsi="Times New Roman" w:cs="Times New Roman"/>
                <w:i/>
              </w:rPr>
              <w:t>жавному реєстрі речових прав  12.10.2023</w:t>
            </w:r>
            <w:r w:rsidR="00505478" w:rsidRPr="00505478">
              <w:rPr>
                <w:rFonts w:ascii="Times New Roman" w:eastAsia="Times New Roman" w:hAnsi="Times New Roman" w:cs="Times New Roman"/>
                <w:i/>
              </w:rPr>
              <w:t>, номер від</w:t>
            </w:r>
            <w:r w:rsidR="00505478">
              <w:rPr>
                <w:rFonts w:ascii="Times New Roman" w:eastAsia="Times New Roman" w:hAnsi="Times New Roman" w:cs="Times New Roman"/>
                <w:i/>
              </w:rPr>
              <w:t xml:space="preserve">омостей про речове право 52092627, </w:t>
            </w:r>
            <w:r w:rsidR="00505478" w:rsidRPr="00505478">
              <w:rPr>
                <w:rFonts w:ascii="Times New Roman" w:eastAsia="Times New Roman" w:hAnsi="Times New Roman" w:cs="Times New Roman"/>
                <w:i/>
              </w:rPr>
              <w:t>реєстраційний номер об’єк</w:t>
            </w:r>
            <w:r w:rsidR="00505478">
              <w:rPr>
                <w:rFonts w:ascii="Times New Roman" w:eastAsia="Times New Roman" w:hAnsi="Times New Roman" w:cs="Times New Roman"/>
                <w:i/>
              </w:rPr>
              <w:t>та нерухомого майна 1345780180000</w:t>
            </w:r>
            <w:r w:rsidR="00505478" w:rsidRPr="00505478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="00505478" w:rsidRPr="00505478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="00505478" w:rsidRPr="00505478">
              <w:rPr>
                <w:rFonts w:ascii="Times New Roman" w:eastAsia="Times New Roman" w:hAnsi="Times New Roman" w:cs="Times New Roman"/>
                <w:i/>
              </w:rPr>
              <w:t xml:space="preserve">, Єдиного реєстру заборон відчуження об’єктів нерухомого майна щодо об’єкта нерухомого майна від </w:t>
            </w:r>
            <w:r w:rsidR="00505478">
              <w:rPr>
                <w:rFonts w:ascii="Times New Roman" w:eastAsia="Times New Roman" w:hAnsi="Times New Roman" w:cs="Times New Roman"/>
                <w:i/>
              </w:rPr>
              <w:t>29.10.2024 № 401410688</w:t>
            </w:r>
            <w:r w:rsidR="00505478" w:rsidRPr="00505478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C55D6A" w:rsidRPr="0070402C" w14:paraId="68B78928" w14:textId="77777777" w:rsidTr="008B5C92">
        <w:trPr>
          <w:trHeight w:val="214"/>
        </w:trPr>
        <w:tc>
          <w:tcPr>
            <w:tcW w:w="3148" w:type="dxa"/>
          </w:tcPr>
          <w:p w14:paraId="2A8DB9F5" w14:textId="77777777" w:rsidR="00C55D6A" w:rsidRPr="00505478" w:rsidRDefault="00CB5B68" w:rsidP="006231B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05478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C55D6A" w:rsidRPr="00505478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349" w:type="dxa"/>
          </w:tcPr>
          <w:p w14:paraId="1A23C133" w14:textId="77777777" w:rsidR="00C55D6A" w:rsidRPr="00E85A60" w:rsidRDefault="00C55D6A" w:rsidP="008B5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55D6A" w:rsidRPr="0070402C" w14:paraId="1DD089C7" w14:textId="77777777" w:rsidTr="008B5C92">
        <w:trPr>
          <w:trHeight w:val="1146"/>
        </w:trPr>
        <w:tc>
          <w:tcPr>
            <w:tcW w:w="3148" w:type="dxa"/>
          </w:tcPr>
          <w:p w14:paraId="6415B63F" w14:textId="77777777" w:rsidR="00CB5B68" w:rsidRPr="00505478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505478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505478">
              <w:rPr>
                <w:rFonts w:ascii="Times New Roman" w:hAnsi="Times New Roman" w:cs="Times New Roman"/>
              </w:rPr>
              <w:t xml:space="preserve"> </w:t>
            </w:r>
          </w:p>
          <w:p w14:paraId="2FFD6C40" w14:textId="77777777" w:rsidR="00C55D6A" w:rsidRPr="00505478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505478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49" w:type="dxa"/>
          </w:tcPr>
          <w:p w14:paraId="282E932A" w14:textId="7D87DD0B" w:rsidR="00C55D6A" w:rsidRPr="00F336A8" w:rsidRDefault="00236FA0" w:rsidP="008B5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Pr="00236FA0">
              <w:rPr>
                <w:rFonts w:ascii="Times New Roman" w:eastAsia="Times New Roman" w:hAnsi="Times New Roman" w:cs="Times New Roman"/>
                <w:i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за функціональним призначенням належить до території </w:t>
            </w:r>
            <w:r w:rsidRPr="00236FA0">
              <w:rPr>
                <w:rFonts w:ascii="Times New Roman" w:hAnsi="Times New Roman" w:cs="Times New Roman"/>
                <w:i/>
              </w:rPr>
              <w:t>багатоповерхової житлової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(лист Департаменту містобудування та архітектури виконавчого органу Київської міської ради (Київської міської державної адміністрації) від 05.</w:t>
            </w:r>
            <w:r w:rsidRPr="00236FA0">
              <w:rPr>
                <w:rFonts w:ascii="Times New Roman" w:eastAsia="Times New Roman" w:hAnsi="Times New Roman" w:cs="Times New Roman"/>
                <w:i/>
              </w:rPr>
              <w:t>03</w:t>
            </w:r>
            <w:r>
              <w:rPr>
                <w:rFonts w:ascii="Times New Roman" w:eastAsia="Times New Roman" w:hAnsi="Times New Roman" w:cs="Times New Roman"/>
                <w:i/>
              </w:rPr>
              <w:t>.2024 № 055-2208).</w:t>
            </w:r>
          </w:p>
        </w:tc>
      </w:tr>
      <w:tr w:rsidR="00C55D6A" w:rsidRPr="0070402C" w14:paraId="1710C9CE" w14:textId="77777777" w:rsidTr="008B5C92">
        <w:trPr>
          <w:trHeight w:val="581"/>
        </w:trPr>
        <w:tc>
          <w:tcPr>
            <w:tcW w:w="3148" w:type="dxa"/>
          </w:tcPr>
          <w:p w14:paraId="644250C3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236FA0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9" w:type="dxa"/>
          </w:tcPr>
          <w:p w14:paraId="5F212EE4" w14:textId="655FBDFF" w:rsidR="00C55D6A" w:rsidRPr="0070402C" w:rsidRDefault="00236FA0" w:rsidP="002968DA">
            <w:pPr>
              <w:spacing w:line="240" w:lineRule="exact"/>
              <w:ind w:left="28"/>
              <w:jc w:val="both"/>
              <w:rPr>
                <w:rFonts w:ascii="Times New Roman" w:hAnsi="Times New Roman" w:cs="Times New Roman"/>
                <w:i/>
              </w:rPr>
            </w:pPr>
            <w:r w:rsidRPr="00236FA0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</w:t>
            </w:r>
            <w:r w:rsidR="002968DA">
              <w:rPr>
                <w:rFonts w:ascii="Times New Roman" w:hAnsi="Times New Roman" w:cs="Times New Roman"/>
                <w:i/>
              </w:rPr>
              <w:t>иторіальної громади міста Києва.</w:t>
            </w:r>
          </w:p>
        </w:tc>
      </w:tr>
      <w:tr w:rsidR="00C55D6A" w:rsidRPr="0070402C" w14:paraId="52E98C3D" w14:textId="77777777" w:rsidTr="008B5C92">
        <w:trPr>
          <w:cantSplit/>
          <w:trHeight w:val="11467"/>
        </w:trPr>
        <w:tc>
          <w:tcPr>
            <w:tcW w:w="3148" w:type="dxa"/>
          </w:tcPr>
          <w:p w14:paraId="7A1AA9AA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2467A2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9" w:type="dxa"/>
          </w:tcPr>
          <w:p w14:paraId="60AA2FC5" w14:textId="037F3BAB" w:rsidR="00D013B8" w:rsidRDefault="00D013B8" w:rsidP="008B5C9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D013B8">
              <w:rPr>
                <w:rFonts w:ascii="Times New Roman" w:hAnsi="Times New Roman" w:cs="Times New Roman"/>
                <w:i/>
              </w:rPr>
              <w:t>Рішенн</w:t>
            </w:r>
            <w:r>
              <w:rPr>
                <w:rFonts w:ascii="Times New Roman" w:hAnsi="Times New Roman" w:cs="Times New Roman"/>
                <w:i/>
              </w:rPr>
              <w:t>ям Київської міської ради від 30.05.2024 № 575/8541</w:t>
            </w:r>
            <w:r w:rsidRPr="00D013B8">
              <w:rPr>
                <w:rFonts w:ascii="Times New Roman" w:hAnsi="Times New Roman" w:cs="Times New Roman"/>
                <w:i/>
              </w:rPr>
              <w:t xml:space="preserve"> «Про затвердження технічних документацій із землеустрою щодо інвентаризації земель» затверджено технічну документацію із землеустрою щодо інвентаризації земель на те</w:t>
            </w:r>
            <w:r>
              <w:rPr>
                <w:rFonts w:ascii="Times New Roman" w:hAnsi="Times New Roman" w:cs="Times New Roman"/>
                <w:i/>
              </w:rPr>
              <w:t>риторії кадастрового кварталу 78:046</w:t>
            </w:r>
            <w:r w:rsidRPr="00D013B8">
              <w:rPr>
                <w:rFonts w:ascii="Times New Roman" w:hAnsi="Times New Roman" w:cs="Times New Roman"/>
                <w:i/>
              </w:rPr>
              <w:t xml:space="preserve"> обмеженого вулицями</w:t>
            </w:r>
            <w:r>
              <w:rPr>
                <w:rFonts w:ascii="Times New Roman" w:hAnsi="Times New Roman" w:cs="Times New Roman"/>
                <w:i/>
              </w:rPr>
              <w:t xml:space="preserve"> Героїв Дніпра, Зої Гайдай, Маршала Тимошенка, Богатирською в Оболонському районі м. Києва</w:t>
            </w:r>
            <w:r w:rsidRPr="00D013B8">
              <w:rPr>
                <w:rFonts w:ascii="Times New Roman" w:hAnsi="Times New Roman" w:cs="Times New Roman"/>
                <w:i/>
              </w:rPr>
              <w:t>, в тому числі на земельну ділянку з к</w:t>
            </w:r>
            <w:r>
              <w:rPr>
                <w:rFonts w:ascii="Times New Roman" w:hAnsi="Times New Roman" w:cs="Times New Roman"/>
                <w:i/>
              </w:rPr>
              <w:t>адастровим номером 8000000000:78:046:0075</w:t>
            </w:r>
            <w:r w:rsidRPr="00D013B8">
              <w:rPr>
                <w:rFonts w:ascii="Times New Roman" w:hAnsi="Times New Roman" w:cs="Times New Roman"/>
                <w:i/>
              </w:rPr>
              <w:t xml:space="preserve"> (код ви</w:t>
            </w:r>
            <w:r>
              <w:rPr>
                <w:rFonts w:ascii="Times New Roman" w:hAnsi="Times New Roman" w:cs="Times New Roman"/>
                <w:i/>
              </w:rPr>
              <w:t>ду цільового призначення – 03.07</w:t>
            </w:r>
            <w:r w:rsidR="00791F31">
              <w:rPr>
                <w:rFonts w:ascii="Times New Roman" w:hAnsi="Times New Roman" w:cs="Times New Roman"/>
                <w:i/>
              </w:rPr>
              <w:t xml:space="preserve"> д</w:t>
            </w:r>
            <w:r w:rsidRPr="00D013B8">
              <w:rPr>
                <w:rFonts w:ascii="Times New Roman" w:hAnsi="Times New Roman" w:cs="Times New Roman"/>
                <w:i/>
              </w:rPr>
              <w:t xml:space="preserve">ля будівництва та обслуговування </w:t>
            </w:r>
            <w:r w:rsidR="00791F31">
              <w:rPr>
                <w:rFonts w:ascii="Times New Roman" w:hAnsi="Times New Roman" w:cs="Times New Roman"/>
                <w:i/>
              </w:rPr>
              <w:t>будівель торгівлі</w:t>
            </w:r>
            <w:r w:rsidR="00004F54">
              <w:rPr>
                <w:rFonts w:ascii="Times New Roman" w:hAnsi="Times New Roman" w:cs="Times New Roman"/>
                <w:i/>
              </w:rPr>
              <w:t>).</w:t>
            </w:r>
          </w:p>
          <w:p w14:paraId="4320CFB6" w14:textId="77777777" w:rsidR="00004F54" w:rsidRPr="00D013B8" w:rsidRDefault="00004F54" w:rsidP="008B5C9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14:paraId="2EE77DB8" w14:textId="6846EC09" w:rsidR="00D013B8" w:rsidRDefault="00D013B8" w:rsidP="008B5C9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D013B8">
              <w:rPr>
                <w:rFonts w:ascii="Times New Roman" w:hAnsi="Times New Roman" w:cs="Times New Roman"/>
                <w:i/>
              </w:rPr>
              <w:t xml:space="preserve">Згідно з діючим наразі Генеральним планом м. Києва на період до 2020 року, затвердженим рішенням Київської міської ради від 28.03.2002 № 370/1804, та згідно з наказом Міністерства культури та інформаційної політики України від 02.08.2021 № 599 «Про затвердження меж </w:t>
            </w:r>
            <w:r w:rsidR="00A759B1">
              <w:rPr>
                <w:rFonts w:ascii="Times New Roman" w:hAnsi="Times New Roman" w:cs="Times New Roman"/>
                <w:i/>
              </w:rPr>
              <w:br/>
            </w:r>
            <w:r w:rsidRPr="00D013B8">
              <w:rPr>
                <w:rFonts w:ascii="Times New Roman" w:hAnsi="Times New Roman" w:cs="Times New Roman"/>
                <w:i/>
              </w:rPr>
              <w:t xml:space="preserve">та режимів використання території історичних </w:t>
            </w:r>
            <w:r w:rsidR="00A759B1">
              <w:rPr>
                <w:rFonts w:ascii="Times New Roman" w:hAnsi="Times New Roman" w:cs="Times New Roman"/>
                <w:i/>
              </w:rPr>
              <w:br/>
            </w:r>
            <w:r w:rsidRPr="00D013B8">
              <w:rPr>
                <w:rFonts w:ascii="Times New Roman" w:hAnsi="Times New Roman" w:cs="Times New Roman"/>
                <w:i/>
              </w:rPr>
              <w:t>ареалів</w:t>
            </w:r>
            <w:r w:rsidR="00A759B1">
              <w:rPr>
                <w:rFonts w:ascii="Times New Roman" w:hAnsi="Times New Roman" w:cs="Times New Roman"/>
                <w:i/>
              </w:rPr>
              <w:t xml:space="preserve"> м. Києва», земельна ділянка за </w:t>
            </w:r>
            <w:proofErr w:type="spellStart"/>
            <w:r w:rsidRPr="00D013B8"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 w:rsidRPr="00D013B8">
              <w:rPr>
                <w:rFonts w:ascii="Times New Roman" w:hAnsi="Times New Roman" w:cs="Times New Roman"/>
                <w:i/>
              </w:rPr>
              <w:t xml:space="preserve"> </w:t>
            </w:r>
            <w:r w:rsidR="00A759B1">
              <w:rPr>
                <w:rFonts w:ascii="Times New Roman" w:hAnsi="Times New Roman" w:cs="Times New Roman"/>
                <w:i/>
              </w:rPr>
              <w:br/>
              <w:t xml:space="preserve">вул. Богатирська, 2Г в Оболонському районі м. Києва </w:t>
            </w:r>
            <w:r w:rsidRPr="00D013B8">
              <w:rPr>
                <w:rFonts w:ascii="Times New Roman" w:hAnsi="Times New Roman" w:cs="Times New Roman"/>
                <w:i/>
              </w:rPr>
              <w:t xml:space="preserve">розташовується поза межами історичних ареалів міста, пам’ятки культурної спадщини національного значення на означеній території не обліковуються (лист Міністерства культури та стратегічних комунікацій України    </w:t>
            </w:r>
            <w:r w:rsidR="00791F31">
              <w:rPr>
                <w:rFonts w:ascii="Times New Roman" w:hAnsi="Times New Roman" w:cs="Times New Roman"/>
                <w:i/>
              </w:rPr>
              <w:t xml:space="preserve">                          від 21</w:t>
            </w:r>
            <w:r w:rsidRPr="00D013B8">
              <w:rPr>
                <w:rFonts w:ascii="Times New Roman" w:hAnsi="Times New Roman" w:cs="Times New Roman"/>
                <w:i/>
              </w:rPr>
              <w:t xml:space="preserve">.10.2024 № </w:t>
            </w:r>
            <w:r w:rsidR="00791F31" w:rsidRPr="00791F31">
              <w:rPr>
                <w:rFonts w:ascii="Times New Roman" w:hAnsi="Times New Roman" w:cs="Times New Roman"/>
                <w:i/>
              </w:rPr>
              <w:t>06/13/9370-24</w:t>
            </w:r>
            <w:r w:rsidRPr="00D013B8">
              <w:rPr>
                <w:rFonts w:ascii="Times New Roman" w:hAnsi="Times New Roman" w:cs="Times New Roman"/>
                <w:i/>
              </w:rPr>
              <w:t>).</w:t>
            </w:r>
          </w:p>
          <w:p w14:paraId="3E9B0218" w14:textId="77777777" w:rsidR="00004F54" w:rsidRPr="00D013B8" w:rsidRDefault="00004F54" w:rsidP="008B5C9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14:paraId="01CED3D0" w14:textId="3E7E93E9" w:rsidR="00D013B8" w:rsidRDefault="00A762A0" w:rsidP="008B5C9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="00D013B8" w:rsidRPr="00D013B8">
              <w:rPr>
                <w:rFonts w:ascii="Times New Roman" w:hAnsi="Times New Roman" w:cs="Times New Roman"/>
                <w:i/>
              </w:rPr>
              <w:t>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на вул. Богатирській, 2-Г в Оболонському районі м. Києва</w:t>
            </w:r>
            <w:r w:rsidR="00D013B8" w:rsidRPr="00D013B8">
              <w:rPr>
                <w:rFonts w:ascii="Times New Roman" w:hAnsi="Times New Roman" w:cs="Times New Roman"/>
                <w:i/>
              </w:rPr>
              <w:t xml:space="preserve"> розташована поза межами території пам’яток культурної спадщини місцевого значення, історико-культурного заповідника місцевого значення, їх зон охорони. Будівлі на </w:t>
            </w:r>
            <w:r w:rsidRPr="00A762A0">
              <w:rPr>
                <w:rFonts w:ascii="Times New Roman" w:hAnsi="Times New Roman" w:cs="Times New Roman"/>
                <w:i/>
              </w:rPr>
              <w:t xml:space="preserve">вул. Богатирській, 2-Г в Оболонському районі м. Києва </w:t>
            </w:r>
            <w:r w:rsidR="00D013B8" w:rsidRPr="00D013B8">
              <w:rPr>
                <w:rFonts w:ascii="Times New Roman" w:hAnsi="Times New Roman" w:cs="Times New Roman"/>
                <w:i/>
              </w:rPr>
              <w:t>на обліку як пам’ятки або об’єкти культурної спадщини не перебувають (лист Департаменту охорони культурної спадщини виконавчого органу Київської міської ради (Київської міської</w:t>
            </w:r>
            <w:r>
              <w:rPr>
                <w:rFonts w:ascii="Times New Roman" w:hAnsi="Times New Roman" w:cs="Times New Roman"/>
                <w:i/>
              </w:rPr>
              <w:t xml:space="preserve"> державної адміністрації) від 07.03.2024 № 066-795</w:t>
            </w:r>
            <w:r w:rsidR="00D013B8" w:rsidRPr="00D013B8">
              <w:rPr>
                <w:rFonts w:ascii="Times New Roman" w:hAnsi="Times New Roman" w:cs="Times New Roman"/>
                <w:i/>
              </w:rPr>
              <w:t>).</w:t>
            </w:r>
          </w:p>
          <w:p w14:paraId="18FD1648" w14:textId="77777777" w:rsidR="00004F54" w:rsidRDefault="00004F54" w:rsidP="008B5C9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14:paraId="5E9A55A5" w14:textId="3B77B708" w:rsidR="008B5C92" w:rsidRDefault="008B5C92" w:rsidP="008B5C9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8B5C92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продаж або відмову у продажу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AB574B6" w14:textId="77777777" w:rsidR="00004F54" w:rsidRPr="008B5C92" w:rsidRDefault="00004F54" w:rsidP="008B5C9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14:paraId="61D48244" w14:textId="44F866FF" w:rsidR="008B5C92" w:rsidRDefault="008B5C92" w:rsidP="008B5C9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8B5C92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№ 826/8847/16. </w:t>
            </w:r>
          </w:p>
          <w:p w14:paraId="0894252F" w14:textId="77777777" w:rsidR="00004F54" w:rsidRPr="008B5C92" w:rsidRDefault="00004F54" w:rsidP="008B5C9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14:paraId="5B226E2D" w14:textId="0AA2C428" w:rsidR="00920B3A" w:rsidRPr="0070402C" w:rsidRDefault="008B5C92" w:rsidP="008B5C9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8B5C92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4B5DC78" w14:textId="77777777" w:rsidR="00C55D6A" w:rsidRPr="00DF2155" w:rsidRDefault="00C55D6A" w:rsidP="00C55D6A">
      <w:pPr>
        <w:pStyle w:val="a7"/>
        <w:shd w:val="clear" w:color="auto" w:fill="auto"/>
        <w:rPr>
          <w:lang w:val="uk-UA"/>
        </w:rPr>
      </w:pPr>
    </w:p>
    <w:p w14:paraId="2FD7DF68" w14:textId="77777777" w:rsidR="00C55D6A" w:rsidRPr="00BE5B9A" w:rsidRDefault="00925E31" w:rsidP="006231B5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C55D6A" w:rsidRPr="00BE5B9A">
        <w:rPr>
          <w:sz w:val="24"/>
          <w:szCs w:val="24"/>
          <w:lang w:val="ru-RU"/>
        </w:rPr>
        <w:t>. Стан нормативно-</w:t>
      </w:r>
      <w:proofErr w:type="spellStart"/>
      <w:r w:rsidR="00C55D6A" w:rsidRPr="00BE5B9A">
        <w:rPr>
          <w:sz w:val="24"/>
          <w:szCs w:val="24"/>
          <w:lang w:val="ru-RU"/>
        </w:rPr>
        <w:t>правової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бази</w:t>
      </w:r>
      <w:proofErr w:type="spellEnd"/>
      <w:r w:rsidR="00C55D6A" w:rsidRPr="00BE5B9A">
        <w:rPr>
          <w:sz w:val="24"/>
          <w:szCs w:val="24"/>
          <w:lang w:val="ru-RU"/>
        </w:rPr>
        <w:t xml:space="preserve"> у </w:t>
      </w:r>
      <w:proofErr w:type="spellStart"/>
      <w:r w:rsidR="00C55D6A" w:rsidRPr="00BE5B9A">
        <w:rPr>
          <w:sz w:val="24"/>
          <w:szCs w:val="24"/>
          <w:lang w:val="ru-RU"/>
        </w:rPr>
        <w:t>даній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сфері</w:t>
      </w:r>
      <w:proofErr w:type="spellEnd"/>
      <w:r w:rsidR="00C55D6A"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="00C55D6A" w:rsidRPr="00BE5B9A">
        <w:rPr>
          <w:sz w:val="24"/>
          <w:szCs w:val="24"/>
          <w:lang w:val="ru-RU"/>
        </w:rPr>
        <w:t>регулювання</w:t>
      </w:r>
      <w:proofErr w:type="spellEnd"/>
      <w:r w:rsidR="00C55D6A" w:rsidRPr="00BE5B9A">
        <w:rPr>
          <w:sz w:val="24"/>
          <w:szCs w:val="24"/>
          <w:lang w:val="ru-RU"/>
        </w:rPr>
        <w:t>.</w:t>
      </w:r>
    </w:p>
    <w:p w14:paraId="5B385574" w14:textId="56E55A48" w:rsidR="00411D93" w:rsidRPr="00411D93" w:rsidRDefault="00411D93" w:rsidP="00411D93">
      <w:pPr>
        <w:shd w:val="clear" w:color="auto" w:fill="FFFFFF"/>
        <w:tabs>
          <w:tab w:val="left" w:pos="709"/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Загальні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засади та порядок продажу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земельних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ділянок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у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власність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фізичн</w:t>
      </w:r>
      <w:r w:rsidR="00A759B1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ій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особ</w:t>
      </w:r>
      <w:r w:rsidR="00A759B1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визначено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статтями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9, 128 Земельного кодексу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України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, Законом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України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«Про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Державний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земельний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кадастр», Законом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України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«Про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оцінку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земель», Законом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України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«Про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державну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реєстрацію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речових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прав на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нерухоме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майно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та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їх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обм</w:t>
      </w:r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ежень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»</w:t>
      </w:r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.</w:t>
      </w:r>
    </w:p>
    <w:p w14:paraId="1B332034" w14:textId="77777777" w:rsidR="00411D93" w:rsidRPr="00411D93" w:rsidRDefault="00411D93" w:rsidP="00411D93">
      <w:pPr>
        <w:shd w:val="clear" w:color="auto" w:fill="FFFFFF"/>
        <w:tabs>
          <w:tab w:val="left" w:pos="709"/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lastRenderedPageBreak/>
        <w:t xml:space="preserve">Проєкт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рішення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не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стосується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прав і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соціальної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захищеності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осіб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з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інвалідністю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та не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матиме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впливу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на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життєдіяльність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цієї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категорії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.</w:t>
      </w:r>
    </w:p>
    <w:p w14:paraId="0BF7E65C" w14:textId="77777777" w:rsidR="00411D93" w:rsidRDefault="00411D93" w:rsidP="00411D93">
      <w:pPr>
        <w:shd w:val="clear" w:color="auto" w:fill="FFFFFF"/>
        <w:tabs>
          <w:tab w:val="left" w:pos="709"/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Проєкт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рішення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не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містить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службової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інформації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у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розумінні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статті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6 Закону </w:t>
      </w:r>
      <w:proofErr w:type="spellStart"/>
      <w:proofErr w:type="gram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України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 «</w:t>
      </w:r>
      <w:proofErr w:type="gram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Про доступ до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публічної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інформації</w:t>
      </w:r>
      <w:proofErr w:type="spellEnd"/>
      <w:r w:rsidRPr="00411D93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».</w:t>
      </w:r>
    </w:p>
    <w:p w14:paraId="791B6868" w14:textId="628463DC" w:rsidR="00411D93" w:rsidRPr="00411D93" w:rsidRDefault="00411D93" w:rsidP="00411D93">
      <w:pPr>
        <w:shd w:val="clear" w:color="auto" w:fill="FFFFFF"/>
        <w:tabs>
          <w:tab w:val="left" w:pos="709"/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 w:rsidRPr="00411D93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E3D0BE1" w14:textId="77777777" w:rsidR="004525DF" w:rsidRPr="00411D93" w:rsidRDefault="004525DF" w:rsidP="00925E31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</w:p>
    <w:p w14:paraId="26FD66EB" w14:textId="77777777" w:rsidR="00C55D6A" w:rsidRPr="00411D93" w:rsidRDefault="004525DF" w:rsidP="006231B5">
      <w:pPr>
        <w:pStyle w:val="1"/>
        <w:shd w:val="clear" w:color="auto" w:fill="auto"/>
        <w:spacing w:line="230" w:lineRule="auto"/>
        <w:ind w:left="284" w:firstLine="142"/>
        <w:rPr>
          <w:i w:val="0"/>
          <w:sz w:val="24"/>
          <w:szCs w:val="24"/>
          <w:lang w:val="uk-UA"/>
        </w:rPr>
      </w:pPr>
      <w:r w:rsidRPr="00411D93">
        <w:rPr>
          <w:b/>
          <w:bCs/>
          <w:i w:val="0"/>
          <w:sz w:val="24"/>
          <w:szCs w:val="24"/>
          <w:lang w:val="uk-UA"/>
        </w:rPr>
        <w:t>6</w:t>
      </w:r>
      <w:r w:rsidR="00C55D6A" w:rsidRPr="00411D93">
        <w:rPr>
          <w:b/>
          <w:bCs/>
          <w:i w:val="0"/>
          <w:sz w:val="24"/>
          <w:szCs w:val="24"/>
          <w:lang w:val="uk-UA"/>
        </w:rPr>
        <w:t>. Фінансово-економічне обґрунтування.</w:t>
      </w:r>
    </w:p>
    <w:p w14:paraId="2D6509A5" w14:textId="712B4469" w:rsidR="00411D93" w:rsidRPr="00411D93" w:rsidRDefault="00411D93" w:rsidP="00411D93">
      <w:pPr>
        <w:spacing w:line="228" w:lineRule="auto"/>
        <w:ind w:firstLine="44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411D93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Реалізація рішення не потребує додаткових витрат міського бюджету, натомість дозволить забезпечити надходження коштів до бюджету за рахунок продажу земельної ділянки (ринкова вартіст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ь земельної ділянки станом на 01.11.2024 становить 1 894 000,00 грн (один мільйон вісімсот дев’яносто чотири тисячі </w:t>
      </w:r>
      <w:r w:rsidRPr="00411D93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гривень), що в роз</w:t>
      </w:r>
      <w:r w:rsidR="00A759B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рахунку на 1 </w:t>
      </w:r>
      <w:proofErr w:type="spellStart"/>
      <w:r w:rsidR="00A759B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кв.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м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дорівнює 4735,00</w:t>
      </w:r>
      <w:r w:rsidRPr="00411D93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грн).</w:t>
      </w:r>
    </w:p>
    <w:p w14:paraId="682659DE" w14:textId="77777777" w:rsidR="00C55D6A" w:rsidRPr="00411D93" w:rsidRDefault="00C55D6A" w:rsidP="00C55D6A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22527DC1" w14:textId="77777777" w:rsidR="00C55D6A" w:rsidRPr="00053AAC" w:rsidRDefault="004525DF" w:rsidP="006231B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053AAC">
        <w:rPr>
          <w:b/>
          <w:bCs/>
          <w:i w:val="0"/>
          <w:sz w:val="24"/>
          <w:szCs w:val="24"/>
          <w:lang w:val="uk-UA"/>
        </w:rPr>
        <w:t>7</w:t>
      </w:r>
      <w:r w:rsidR="00C55D6A" w:rsidRPr="00053AAC">
        <w:rPr>
          <w:b/>
          <w:bCs/>
          <w:i w:val="0"/>
          <w:sz w:val="24"/>
          <w:szCs w:val="24"/>
          <w:lang w:val="uk-UA"/>
        </w:rPr>
        <w:t>. Прогноз соціально-економічних та інших наслідків прийняття рішення.</w:t>
      </w:r>
    </w:p>
    <w:p w14:paraId="42C2051E" w14:textId="77777777" w:rsidR="00411D93" w:rsidRDefault="00C55D6A" w:rsidP="00411D93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Наслідками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прийняття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розробленого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проєкту </w:t>
      </w:r>
      <w:proofErr w:type="spellStart"/>
      <w:r w:rsidRPr="00BE5B9A">
        <w:rPr>
          <w:i w:val="0"/>
          <w:sz w:val="24"/>
          <w:szCs w:val="24"/>
          <w:lang w:val="ru-RU"/>
        </w:rPr>
        <w:t>рішення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стане:</w:t>
      </w:r>
    </w:p>
    <w:p w14:paraId="06DCAAE1" w14:textId="77777777" w:rsidR="00411D93" w:rsidRDefault="00411D93" w:rsidP="00411D93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proofErr w:type="spellStart"/>
      <w:r w:rsidR="00C55D6A" w:rsidRPr="00BE5B9A">
        <w:rPr>
          <w:i w:val="0"/>
          <w:sz w:val="24"/>
          <w:szCs w:val="24"/>
          <w:lang w:val="ru-RU"/>
        </w:rPr>
        <w:t>реалізація</w:t>
      </w:r>
      <w:proofErr w:type="spellEnd"/>
      <w:r w:rsidR="00C55D6A"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i w:val="0"/>
          <w:sz w:val="24"/>
          <w:szCs w:val="24"/>
          <w:lang w:val="ru-RU"/>
        </w:rPr>
        <w:t>зацік</w:t>
      </w:r>
      <w:r w:rsidR="004525DF">
        <w:rPr>
          <w:i w:val="0"/>
          <w:sz w:val="24"/>
          <w:szCs w:val="24"/>
          <w:lang w:val="ru-RU"/>
        </w:rPr>
        <w:t>авленою</w:t>
      </w:r>
      <w:proofErr w:type="spellEnd"/>
      <w:r w:rsidR="004525DF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="004525DF">
        <w:rPr>
          <w:i w:val="0"/>
          <w:sz w:val="24"/>
          <w:szCs w:val="24"/>
          <w:lang w:val="ru-RU"/>
        </w:rPr>
        <w:t>своїх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4525DF">
        <w:rPr>
          <w:i w:val="0"/>
          <w:sz w:val="24"/>
          <w:szCs w:val="24"/>
          <w:lang w:val="ru-RU"/>
        </w:rPr>
        <w:t>щодо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набуття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="004525DF">
        <w:rPr>
          <w:i w:val="0"/>
          <w:sz w:val="24"/>
          <w:szCs w:val="24"/>
          <w:lang w:val="ru-RU"/>
        </w:rPr>
        <w:t>власності</w:t>
      </w:r>
      <w:proofErr w:type="spellEnd"/>
      <w:r w:rsidR="004525DF">
        <w:rPr>
          <w:i w:val="0"/>
          <w:sz w:val="24"/>
          <w:szCs w:val="24"/>
          <w:lang w:val="ru-RU"/>
        </w:rPr>
        <w:t xml:space="preserve"> на </w:t>
      </w:r>
      <w:proofErr w:type="spellStart"/>
      <w:r w:rsidR="004525DF">
        <w:rPr>
          <w:i w:val="0"/>
          <w:sz w:val="24"/>
          <w:szCs w:val="24"/>
          <w:lang w:val="ru-RU"/>
        </w:rPr>
        <w:t>земельну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ділянку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та </w:t>
      </w:r>
      <w:proofErr w:type="spellStart"/>
      <w:r w:rsidR="004525DF">
        <w:rPr>
          <w:i w:val="0"/>
          <w:sz w:val="24"/>
          <w:szCs w:val="24"/>
          <w:lang w:val="ru-RU"/>
        </w:rPr>
        <w:t>подальшого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її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використання</w:t>
      </w:r>
      <w:proofErr w:type="spellEnd"/>
      <w:r w:rsidR="004525DF" w:rsidRPr="004525DF">
        <w:rPr>
          <w:i w:val="0"/>
          <w:sz w:val="24"/>
          <w:szCs w:val="24"/>
          <w:lang w:val="ru-RU"/>
        </w:rPr>
        <w:t>;</w:t>
      </w:r>
    </w:p>
    <w:p w14:paraId="444F244D" w14:textId="12AE5E2E" w:rsidR="00C55D6A" w:rsidRDefault="00411D93" w:rsidP="00411D93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r w:rsidR="004525DF">
        <w:rPr>
          <w:i w:val="0"/>
          <w:sz w:val="24"/>
          <w:szCs w:val="24"/>
          <w:lang w:val="uk-UA"/>
        </w:rPr>
        <w:t>збільшення планових показників з наповнення міського бюджету від продажу земельних ділянок несіль</w:t>
      </w:r>
      <w:r w:rsidR="00AD2513">
        <w:rPr>
          <w:i w:val="0"/>
          <w:sz w:val="24"/>
          <w:szCs w:val="24"/>
          <w:lang w:val="uk-UA"/>
        </w:rPr>
        <w:t>сь</w:t>
      </w:r>
      <w:r w:rsidR="004525DF">
        <w:rPr>
          <w:i w:val="0"/>
          <w:sz w:val="24"/>
          <w:szCs w:val="24"/>
          <w:lang w:val="uk-UA"/>
        </w:rPr>
        <w:t>когосподарського призначення у м. Києві</w:t>
      </w:r>
      <w:r w:rsidR="00C55D6A">
        <w:rPr>
          <w:i w:val="0"/>
          <w:sz w:val="24"/>
          <w:szCs w:val="24"/>
          <w:lang w:val="ru-RU"/>
        </w:rPr>
        <w:t>.</w:t>
      </w:r>
    </w:p>
    <w:p w14:paraId="465FD710" w14:textId="77777777" w:rsidR="00411D93" w:rsidRDefault="00411D93" w:rsidP="00411D93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</w:p>
    <w:p w14:paraId="2B3079E9" w14:textId="77777777" w:rsidR="00C55D6A" w:rsidRPr="00AD604C" w:rsidRDefault="00C55D6A" w:rsidP="00C55D6A">
      <w:pPr>
        <w:pStyle w:val="24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AA5116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DC1B49C" w14:textId="77777777" w:rsidR="00C55D6A" w:rsidRPr="00BE5B9A" w:rsidRDefault="00C55D6A" w:rsidP="00C55D6A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2"/>
      </w:tblGrid>
      <w:tr w:rsidR="009A1548" w14:paraId="4E3DD28E" w14:textId="77777777" w:rsidTr="006231B5">
        <w:trPr>
          <w:trHeight w:val="663"/>
        </w:trPr>
        <w:tc>
          <w:tcPr>
            <w:tcW w:w="4757" w:type="dxa"/>
            <w:hideMark/>
          </w:tcPr>
          <w:p w14:paraId="0B3AC421" w14:textId="77777777" w:rsidR="006204D9" w:rsidRDefault="006204D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6882D86A" w14:textId="77777777" w:rsidR="009A1548" w:rsidRPr="009A1548" w:rsidRDefault="006709BB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7EB53DB6" w14:textId="77777777" w:rsidR="009A1548" w:rsidRPr="009A1548" w:rsidRDefault="009A1548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14:paraId="0A0D5BD7" w14:textId="77777777" w:rsidR="009A1548" w:rsidRPr="009A1548" w:rsidRDefault="009A1548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3D891029" w14:textId="77777777" w:rsidR="009A1548" w:rsidRDefault="009A1548" w:rsidP="006231B5">
            <w:pPr>
              <w:pStyle w:val="30"/>
              <w:shd w:val="clear" w:color="auto" w:fill="auto"/>
              <w:ind w:right="-108"/>
              <w:jc w:val="right"/>
              <w:rPr>
                <w:rStyle w:val="ab"/>
                <w:sz w:val="24"/>
                <w:szCs w:val="24"/>
              </w:rPr>
            </w:pPr>
            <w:proofErr w:type="spellStart"/>
            <w:r w:rsidRPr="007353C7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7353C7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34C36D60" w14:textId="77777777" w:rsidR="00C55D6A" w:rsidRPr="00662FA7" w:rsidRDefault="00C55D6A" w:rsidP="00C55D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47C2E8" w14:textId="77777777" w:rsidR="00565EDB" w:rsidRDefault="00565ED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0D1F9E" w14:textId="77777777" w:rsidR="00F0697A" w:rsidRPr="00C55D6A" w:rsidRDefault="00F069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0697A" w:rsidRPr="00C55D6A" w:rsidSect="008B5C92">
      <w:headerReference w:type="default" r:id="rId9"/>
      <w:footerReference w:type="default" r:id="rId10"/>
      <w:pgSz w:w="11907" w:h="16839" w:code="9"/>
      <w:pgMar w:top="993" w:right="708" w:bottom="127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56F6" w14:textId="77777777" w:rsidR="001D06F5" w:rsidRDefault="001D06F5">
      <w:r>
        <w:separator/>
      </w:r>
    </w:p>
  </w:endnote>
  <w:endnote w:type="continuationSeparator" w:id="0">
    <w:p w14:paraId="05DF9FB8" w14:textId="77777777" w:rsidR="001D06F5" w:rsidRDefault="001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8AA7" w14:textId="77777777" w:rsidR="008A338E" w:rsidRDefault="0028325A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AB071D" wp14:editId="743CB54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E2D64" w14:textId="77777777" w:rsidR="002D306E" w:rsidRPr="00BE5B9A" w:rsidRDefault="0028325A">
                          <w:pPr>
                            <w:pStyle w:val="22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B071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275E2D64" w14:textId="77777777" w:rsidR="002D306E" w:rsidRPr="00BE5B9A" w:rsidRDefault="0028325A">
                    <w:pPr>
                      <w:pStyle w:val="22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A646" w14:textId="77777777" w:rsidR="001D06F5" w:rsidRDefault="001D06F5">
      <w:r>
        <w:separator/>
      </w:r>
    </w:p>
  </w:footnote>
  <w:footnote w:type="continuationSeparator" w:id="0">
    <w:p w14:paraId="651F2C4E" w14:textId="77777777" w:rsidR="001D06F5" w:rsidRDefault="001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66210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3464A" w14:textId="77777777" w:rsidR="0070323B" w:rsidRPr="00BE5B9A" w:rsidRDefault="00F24DAE" w:rsidP="00F24DAE">
        <w:pPr>
          <w:pStyle w:val="24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24E6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1B0501">
          <w:rPr>
            <w:i w:val="0"/>
            <w:sz w:val="12"/>
            <w:szCs w:val="12"/>
            <w:lang w:val="ru-RU"/>
          </w:rPr>
          <w:t xml:space="preserve"> ПЗН</w:t>
        </w:r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AA5116">
          <w:rPr>
            <w:i w:val="0"/>
            <w:sz w:val="12"/>
            <w:szCs w:val="12"/>
            <w:lang w:val="ru-RU"/>
          </w:rPr>
          <w:t>-63141</w:t>
        </w:r>
        <w:r w:rsidR="0028325A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47BC9" w:rsidRPr="00AA5116">
          <w:rPr>
            <w:bCs/>
            <w:i w:val="0"/>
            <w:sz w:val="12"/>
            <w:szCs w:val="12"/>
            <w:lang w:val="ru-RU"/>
          </w:rPr>
          <w:t>05.11.2024</w:t>
        </w:r>
        <w:r w:rsidR="0028325A" w:rsidRPr="00BE5B9A">
          <w:rPr>
            <w:i w:val="0"/>
            <w:sz w:val="16"/>
            <w:szCs w:val="16"/>
            <w:lang w:val="ru-RU"/>
          </w:rPr>
          <w:t xml:space="preserve"> </w:t>
        </w:r>
        <w:r w:rsidR="0028325A"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AA5116">
          <w:rPr>
            <w:i w:val="0"/>
            <w:sz w:val="12"/>
            <w:szCs w:val="12"/>
            <w:lang w:val="ru-RU"/>
          </w:rPr>
          <w:t>540511924</w:t>
        </w:r>
      </w:p>
      <w:p w14:paraId="670C756C" w14:textId="1B7779CA" w:rsidR="0070323B" w:rsidRPr="00800A09" w:rsidRDefault="0028325A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354C4" w:rsidRPr="008354C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6401A9B1" w14:textId="77777777" w:rsidR="0070323B" w:rsidRDefault="008354C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6A"/>
    <w:rsid w:val="00004F54"/>
    <w:rsid w:val="00034CA2"/>
    <w:rsid w:val="00053AAC"/>
    <w:rsid w:val="000C7236"/>
    <w:rsid w:val="00120C50"/>
    <w:rsid w:val="001B0501"/>
    <w:rsid w:val="001B5701"/>
    <w:rsid w:val="001C374B"/>
    <w:rsid w:val="001D06F5"/>
    <w:rsid w:val="00235A34"/>
    <w:rsid w:val="00236FA0"/>
    <w:rsid w:val="002467A2"/>
    <w:rsid w:val="00247BC9"/>
    <w:rsid w:val="0028325A"/>
    <w:rsid w:val="002968DA"/>
    <w:rsid w:val="002D778E"/>
    <w:rsid w:val="002E3AE0"/>
    <w:rsid w:val="003B07D2"/>
    <w:rsid w:val="003E5F65"/>
    <w:rsid w:val="00401F79"/>
    <w:rsid w:val="00411D93"/>
    <w:rsid w:val="00435A1C"/>
    <w:rsid w:val="004525DF"/>
    <w:rsid w:val="004E78B3"/>
    <w:rsid w:val="005036A3"/>
    <w:rsid w:val="00505478"/>
    <w:rsid w:val="00532890"/>
    <w:rsid w:val="00552C52"/>
    <w:rsid w:val="00565EDB"/>
    <w:rsid w:val="005924B9"/>
    <w:rsid w:val="00614CC4"/>
    <w:rsid w:val="006204D9"/>
    <w:rsid w:val="006231B5"/>
    <w:rsid w:val="00645284"/>
    <w:rsid w:val="006709BB"/>
    <w:rsid w:val="00676545"/>
    <w:rsid w:val="006A60F7"/>
    <w:rsid w:val="006C13FA"/>
    <w:rsid w:val="007121CA"/>
    <w:rsid w:val="007130F3"/>
    <w:rsid w:val="00724E65"/>
    <w:rsid w:val="007342C8"/>
    <w:rsid w:val="007353C7"/>
    <w:rsid w:val="00791F31"/>
    <w:rsid w:val="00793063"/>
    <w:rsid w:val="007D1D84"/>
    <w:rsid w:val="00813984"/>
    <w:rsid w:val="00823E0C"/>
    <w:rsid w:val="008354C4"/>
    <w:rsid w:val="008A789E"/>
    <w:rsid w:val="008B5C92"/>
    <w:rsid w:val="00916F78"/>
    <w:rsid w:val="00920B3A"/>
    <w:rsid w:val="00925E31"/>
    <w:rsid w:val="00957B92"/>
    <w:rsid w:val="0099284D"/>
    <w:rsid w:val="009A1548"/>
    <w:rsid w:val="009C61FC"/>
    <w:rsid w:val="00A3277B"/>
    <w:rsid w:val="00A4638D"/>
    <w:rsid w:val="00A759B1"/>
    <w:rsid w:val="00A762A0"/>
    <w:rsid w:val="00A91671"/>
    <w:rsid w:val="00AA5116"/>
    <w:rsid w:val="00AD2513"/>
    <w:rsid w:val="00B0357E"/>
    <w:rsid w:val="00C55D6A"/>
    <w:rsid w:val="00CB5B68"/>
    <w:rsid w:val="00D013B8"/>
    <w:rsid w:val="00DC7351"/>
    <w:rsid w:val="00DF2155"/>
    <w:rsid w:val="00E5298F"/>
    <w:rsid w:val="00E81F2C"/>
    <w:rsid w:val="00E85A60"/>
    <w:rsid w:val="00EE10DC"/>
    <w:rsid w:val="00F0697A"/>
    <w:rsid w:val="00F24DAE"/>
    <w:rsid w:val="00F27081"/>
    <w:rsid w:val="00F31A73"/>
    <w:rsid w:val="00F50656"/>
    <w:rsid w:val="00F80003"/>
    <w:rsid w:val="00FC6B1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30F"/>
  <w15:chartTrackingRefBased/>
  <w15:docId w15:val="{3C106ABC-B953-495E-89D7-477F9DE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basedOn w:val="a0"/>
    <w:link w:val="22"/>
    <w:rsid w:val="00C55D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55D6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55D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2">
    <w:name w:val="Колонтитул (2)"/>
    <w:basedOn w:val="a"/>
    <w:link w:val="21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55D6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55D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55D6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3">
    <w:name w:val="Основной текст (2)_"/>
    <w:basedOn w:val="a0"/>
    <w:link w:val="24"/>
    <w:rsid w:val="00C55D6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55D6A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55D6A"/>
    <w:rPr>
      <w:b/>
      <w:bCs/>
    </w:rPr>
  </w:style>
  <w:style w:type="character" w:styleId="ac">
    <w:name w:val="Emphasis"/>
    <w:basedOn w:val="a0"/>
    <w:uiPriority w:val="20"/>
    <w:qFormat/>
    <w:rsid w:val="00C55D6A"/>
    <w:rPr>
      <w:i/>
      <w:iCs/>
    </w:rPr>
  </w:style>
  <w:style w:type="paragraph" w:styleId="ad">
    <w:name w:val="No Spacing"/>
    <w:uiPriority w:val="1"/>
    <w:qFormat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5D6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247BC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47BC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0697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0697A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20">
    <w:name w:val="Заголовок 2 Знак"/>
    <w:basedOn w:val="a0"/>
    <w:link w:val="2"/>
    <w:semiHidden/>
    <w:rsid w:val="00AA5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про продаж земельної ділянки</vt:lpstr>
      <vt:lpstr/>
    </vt:vector>
  </TitlesOfParts>
  <Manager>Відділ ринку землі</Manager>
  <Company>ДЕПАРТАМЕНТ ЗЕМЕЛЬНИХ РЕСУРСІВ</Company>
  <LinksUpToDate>false</LinksUpToDate>
  <CharactersWithSpaces>6624</CharactersWithSpaces>
  <SharedDoc>false</SharedDoc>
  <HyperlinkBase>189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про продаж земельної ділянки</dc:title>
  <dc:subject/>
  <dc:creator>Сізон Олена Миколаївна</dc:creator>
  <cp:keywords>{"doc_type_id":189,"doc_type_name":"ПЗ про продаж земельної ділянки","doc_type_file":"ПЗ_Про_продаж_земельної_ділянки.docx"}</cp:keywords>
  <dc:description/>
  <cp:lastModifiedBy>Мегріна Анастасія Сергіївна</cp:lastModifiedBy>
  <cp:revision>50</cp:revision>
  <cp:lastPrinted>2021-11-25T14:17:00Z</cp:lastPrinted>
  <dcterms:created xsi:type="dcterms:W3CDTF">2021-04-29T15:46:00Z</dcterms:created>
  <dcterms:modified xsi:type="dcterms:W3CDTF">2024-11-08T09:31:00Z</dcterms:modified>
</cp:coreProperties>
</file>