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536001981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536001981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3599ED2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524DAB">
        <w:rPr>
          <w:b/>
          <w:bCs/>
          <w:color w:val="auto"/>
          <w:sz w:val="24"/>
          <w:szCs w:val="24"/>
          <w:lang w:val="ru-RU"/>
        </w:rPr>
        <w:t>ПЗН-59899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524DAB">
        <w:rPr>
          <w:b/>
          <w:bCs/>
          <w:color w:val="auto"/>
          <w:sz w:val="24"/>
          <w:szCs w:val="24"/>
          <w:lang w:val="ru-RU"/>
        </w:rPr>
        <w:t>30.11.2023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42525894" w:rsidR="00816AD3" w:rsidRPr="00965A55" w:rsidRDefault="00524DAB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  <w:r w:rsidRPr="00524DAB">
        <w:rPr>
          <w:b/>
          <w:bCs/>
          <w:i/>
          <w:iCs/>
          <w:color w:val="auto"/>
          <w:sz w:val="24"/>
          <w:szCs w:val="24"/>
        </w:rPr>
        <w:t xml:space="preserve">Про надання громадянці </w:t>
      </w:r>
      <w:proofErr w:type="spellStart"/>
      <w:r w:rsidRPr="00524DAB">
        <w:rPr>
          <w:b/>
          <w:bCs/>
          <w:i/>
          <w:iCs/>
          <w:color w:val="auto"/>
          <w:sz w:val="24"/>
          <w:szCs w:val="24"/>
        </w:rPr>
        <w:t>Кутузовій</w:t>
      </w:r>
      <w:proofErr w:type="spellEnd"/>
      <w:r w:rsidRPr="00524DAB">
        <w:rPr>
          <w:b/>
          <w:bCs/>
          <w:i/>
          <w:iCs/>
          <w:color w:val="auto"/>
          <w:sz w:val="24"/>
          <w:szCs w:val="24"/>
        </w:rPr>
        <w:t xml:space="preserve"> Олені Олександрівні дозволу на розроблення </w:t>
      </w:r>
      <w:proofErr w:type="spellStart"/>
      <w:r w:rsidRPr="00524DAB">
        <w:rPr>
          <w:b/>
          <w:bCs/>
          <w:i/>
          <w:iCs/>
          <w:color w:val="auto"/>
          <w:sz w:val="24"/>
          <w:szCs w:val="24"/>
        </w:rPr>
        <w:t>проєкту</w:t>
      </w:r>
      <w:proofErr w:type="spellEnd"/>
      <w:r w:rsidRPr="00524DAB">
        <w:rPr>
          <w:b/>
          <w:bCs/>
          <w:i/>
          <w:iCs/>
          <w:color w:val="auto"/>
          <w:sz w:val="24"/>
          <w:szCs w:val="24"/>
        </w:rPr>
        <w:t xml:space="preserve"> землеустрою щодо відведення земельної ділянки</w:t>
      </w:r>
      <w:r w:rsidRPr="00524DAB">
        <w:rPr>
          <w:b/>
          <w:i/>
          <w:iCs/>
          <w:color w:val="auto"/>
          <w:sz w:val="24"/>
          <w:szCs w:val="24"/>
        </w:rPr>
        <w:t xml:space="preserve"> </w:t>
      </w:r>
      <w:r w:rsidRPr="00524DAB">
        <w:rPr>
          <w:b/>
          <w:bCs/>
          <w:i/>
          <w:iCs/>
          <w:color w:val="auto"/>
          <w:sz w:val="24"/>
          <w:szCs w:val="24"/>
        </w:rPr>
        <w:t xml:space="preserve">для будівництва і обслуговування жилого будинку, господарських будівель і споруд у </w:t>
      </w:r>
      <w:proofErr w:type="spellStart"/>
      <w:r w:rsidRPr="00524DAB">
        <w:rPr>
          <w:b/>
          <w:bCs/>
          <w:i/>
          <w:iCs/>
          <w:color w:val="auto"/>
          <w:sz w:val="24"/>
          <w:szCs w:val="24"/>
        </w:rPr>
        <w:t>пров</w:t>
      </w:r>
      <w:proofErr w:type="spellEnd"/>
      <w:r w:rsidRPr="00524DAB">
        <w:rPr>
          <w:b/>
          <w:bCs/>
          <w:i/>
          <w:iCs/>
          <w:color w:val="auto"/>
          <w:sz w:val="24"/>
          <w:szCs w:val="24"/>
        </w:rPr>
        <w:t xml:space="preserve">. </w:t>
      </w:r>
      <w:r w:rsidRPr="00524DAB">
        <w:rPr>
          <w:b/>
          <w:bCs/>
          <w:i/>
          <w:iCs/>
          <w:color w:val="auto"/>
          <w:sz w:val="24"/>
          <w:szCs w:val="24"/>
          <w:lang w:val="ru-RU"/>
        </w:rPr>
        <w:t xml:space="preserve">3-ому Садовому, 6 у </w:t>
      </w:r>
      <w:proofErr w:type="spellStart"/>
      <w:r w:rsidRPr="00524DAB">
        <w:rPr>
          <w:b/>
          <w:bCs/>
          <w:i/>
          <w:iCs/>
          <w:color w:val="auto"/>
          <w:sz w:val="24"/>
          <w:szCs w:val="24"/>
          <w:lang w:val="ru-RU"/>
        </w:rPr>
        <w:t>Дарницькому</w:t>
      </w:r>
      <w:proofErr w:type="spellEnd"/>
      <w:r w:rsidRPr="00524DAB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524DAB">
        <w:rPr>
          <w:b/>
          <w:bCs/>
          <w:i/>
          <w:iCs/>
          <w:color w:val="auto"/>
          <w:sz w:val="24"/>
          <w:szCs w:val="24"/>
          <w:lang w:val="ru-RU"/>
        </w:rPr>
        <w:t>районі</w:t>
      </w:r>
      <w:proofErr w:type="spellEnd"/>
      <w:r w:rsidRPr="00524DAB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524DAB">
        <w:rPr>
          <w:b/>
          <w:bCs/>
          <w:i/>
          <w:iCs/>
          <w:color w:val="auto"/>
          <w:sz w:val="24"/>
          <w:szCs w:val="24"/>
          <w:lang w:val="ru-RU"/>
        </w:rPr>
        <w:t>міста</w:t>
      </w:r>
      <w:proofErr w:type="spellEnd"/>
      <w:r w:rsidRPr="00524DAB">
        <w:rPr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524DAB">
        <w:rPr>
          <w:b/>
          <w:bCs/>
          <w:i/>
          <w:iCs/>
          <w:color w:val="auto"/>
          <w:sz w:val="24"/>
          <w:szCs w:val="24"/>
          <w:lang w:val="ru-RU"/>
        </w:rPr>
        <w:t>Києва</w:t>
      </w:r>
      <w:proofErr w:type="spellEnd"/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Кутузова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Олена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09.11.2023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536001981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4D2CF485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DC315B">
        <w:rPr>
          <w:color w:val="auto"/>
          <w:sz w:val="24"/>
          <w:szCs w:val="24"/>
        </w:rPr>
        <w:t xml:space="preserve">обліковий код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90:204:0250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Дарницький,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>. 3-ій Садовий, 6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0,08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BDFE398" w:rsidR="00637B70" w:rsidRPr="000B0F13" w:rsidRDefault="00524DAB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24DA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право в процесі оформлення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(власність)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06DBB3E3" w:rsidR="00637B70" w:rsidRPr="00524DAB" w:rsidRDefault="00524DAB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24DA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для будівництва і обслуговування жилого будинку, господарських будівель і споруд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15B2552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="00D844EC">
        <w:rPr>
          <w:color w:val="auto"/>
          <w:sz w:val="24"/>
          <w:szCs w:val="24"/>
        </w:rPr>
        <w:t xml:space="preserve"> рішення Київської міської ради «</w:t>
      </w:r>
      <w:r w:rsidR="00D844EC" w:rsidRPr="00D844EC">
        <w:rPr>
          <w:color w:val="auto"/>
          <w:sz w:val="24"/>
          <w:szCs w:val="24"/>
        </w:rPr>
        <w:t xml:space="preserve">Про надання громадянці </w:t>
      </w:r>
      <w:proofErr w:type="spellStart"/>
      <w:r w:rsidR="00D844EC" w:rsidRPr="00D844EC">
        <w:rPr>
          <w:color w:val="auto"/>
          <w:sz w:val="24"/>
          <w:szCs w:val="24"/>
        </w:rPr>
        <w:t>Кутузовій</w:t>
      </w:r>
      <w:proofErr w:type="spellEnd"/>
      <w:r w:rsidR="00D844EC" w:rsidRPr="00D844EC">
        <w:rPr>
          <w:color w:val="auto"/>
          <w:sz w:val="24"/>
          <w:szCs w:val="24"/>
        </w:rPr>
        <w:t xml:space="preserve"> Олені Олександрівні дозволу на розроблення </w:t>
      </w:r>
      <w:proofErr w:type="spellStart"/>
      <w:r w:rsidR="00D844EC" w:rsidRPr="00D844EC">
        <w:rPr>
          <w:color w:val="auto"/>
          <w:sz w:val="24"/>
          <w:szCs w:val="24"/>
        </w:rPr>
        <w:t>проєкту</w:t>
      </w:r>
      <w:proofErr w:type="spellEnd"/>
      <w:r w:rsidR="00D844EC" w:rsidRPr="00D844EC">
        <w:rPr>
          <w:color w:val="auto"/>
          <w:sz w:val="24"/>
          <w:szCs w:val="24"/>
        </w:rPr>
        <w:t xml:space="preserve"> землеустрою щодо відведення земельної ділянки для будівництва і обслуговування жилого будинку, господарських будівель і споруд у </w:t>
      </w:r>
      <w:proofErr w:type="spellStart"/>
      <w:r w:rsidR="00D844EC" w:rsidRPr="00D844EC">
        <w:rPr>
          <w:color w:val="auto"/>
          <w:sz w:val="24"/>
          <w:szCs w:val="24"/>
        </w:rPr>
        <w:t>пров</w:t>
      </w:r>
      <w:proofErr w:type="spellEnd"/>
      <w:r w:rsidR="00D844EC" w:rsidRPr="00D844EC">
        <w:rPr>
          <w:color w:val="auto"/>
          <w:sz w:val="24"/>
          <w:szCs w:val="24"/>
        </w:rPr>
        <w:t>. 3-ому Садовому, 6 у Дарницькому районі міста Києва</w:t>
      </w:r>
      <w:r w:rsidR="00D844EC">
        <w:rPr>
          <w:color w:val="auto"/>
          <w:sz w:val="24"/>
          <w:szCs w:val="24"/>
        </w:rPr>
        <w:t>»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73ADB4FE" w:rsidR="00592B62" w:rsidRPr="00965A55" w:rsidRDefault="00D844EC" w:rsidP="00DC315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844EC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забудована житловим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будинком загальною площею 60,4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 який належить</w:t>
            </w:r>
            <w:r w:rsidR="00DC315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праві власності громадянці </w:t>
            </w:r>
            <w:proofErr w:type="spellStart"/>
            <w:r w:rsidR="00DC315B">
              <w:rPr>
                <w:rFonts w:ascii="Times New Roman" w:eastAsia="Times New Roman" w:hAnsi="Times New Roman" w:cs="Times New Roman"/>
                <w:i/>
                <w:color w:val="auto"/>
              </w:rPr>
              <w:t>Кутузовій</w:t>
            </w:r>
            <w:proofErr w:type="spellEnd"/>
            <w:r w:rsidR="00DC315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Олені Олександрівні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D84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D84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DC315B" w:rsidRPr="00DC315B">
              <w:rPr>
                <w:rFonts w:ascii="Times New Roman" w:eastAsia="Times New Roman" w:hAnsi="Times New Roman" w:cs="Times New Roman"/>
                <w:i/>
                <w:color w:val="auto"/>
              </w:rPr>
              <w:t>30.11.2023</w:t>
            </w:r>
            <w:r w:rsidR="00DC315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</w:t>
            </w:r>
            <w:r w:rsidR="00DC315B" w:rsidRPr="00DC315B">
              <w:rPr>
                <w:rFonts w:ascii="Times New Roman" w:eastAsia="Times New Roman" w:hAnsi="Times New Roman" w:cs="Times New Roman"/>
                <w:i/>
                <w:color w:val="auto"/>
              </w:rPr>
              <w:t>№ 356502342</w:t>
            </w:r>
            <w:r w:rsidRPr="00DC315B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D84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реєстраційний номер об'єкта нерухомого майна  </w:t>
            </w:r>
            <w:r w:rsidR="009C6CA8">
              <w:rPr>
                <w:rFonts w:ascii="Times New Roman" w:eastAsia="Times New Roman" w:hAnsi="Times New Roman" w:cs="Times New Roman"/>
                <w:i/>
                <w:color w:val="auto"/>
              </w:rPr>
              <w:t>№ 2776928980000</w:t>
            </w:r>
            <w:r w:rsidRPr="00D844E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запис про право власності від 21.06.2023  </w:t>
            </w:r>
            <w:r w:rsidR="009C6CA8">
              <w:rPr>
                <w:rFonts w:ascii="Times New Roman" w:eastAsia="Times New Roman" w:hAnsi="Times New Roman" w:cs="Times New Roman"/>
                <w:i/>
                <w:color w:val="auto"/>
              </w:rPr>
              <w:t>№ 51269585</w:t>
            </w:r>
            <w:r w:rsidRPr="00D844EC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47BECDBE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1BC57C9E" w:rsidR="00592B62" w:rsidRPr="00965A55" w:rsidRDefault="00AD17FC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D17FC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</w:t>
            </w:r>
            <w:r w:rsidR="00DF3BF9">
              <w:rPr>
                <w:rFonts w:ascii="Times New Roman" w:eastAsia="Times New Roman" w:hAnsi="Times New Roman" w:cs="Times New Roman"/>
                <w:i/>
                <w:color w:val="auto"/>
              </w:rPr>
              <w:t>енерального плану міста Києва</w:t>
            </w:r>
            <w:r w:rsidR="00DF3BF9" w:rsidRPr="00DF3B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та </w:t>
            </w:r>
            <w:proofErr w:type="spellStart"/>
            <w:r w:rsidR="00DF3BF9" w:rsidRPr="00DF3B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проєкту</w:t>
            </w:r>
            <w:proofErr w:type="spellEnd"/>
            <w:r w:rsidR="00DF3BF9" w:rsidRPr="00DF3B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планування його приміської зони,</w:t>
            </w:r>
            <w:r w:rsidRPr="00AD17F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затвердженого рішенням Київської міської ради  від 28.03.2002 № 370/1804, земельна ділянка за функціональним призначенням належить до території житлової садибної забудови (існуючі)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ації) від 10.11.2023  № 055-9325</w:t>
            </w:r>
            <w:r w:rsidRPr="00AD17FC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73905C15" w:rsidR="009E3977" w:rsidRPr="00965A55" w:rsidRDefault="00A70EC2" w:rsidP="00701428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7ED49B8F" w14:textId="77777777" w:rsidR="00701428" w:rsidRPr="00DC315B" w:rsidRDefault="00701428" w:rsidP="0070142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C31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DC31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DC31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3D60CA7D" w14:textId="77777777" w:rsidR="00701428" w:rsidRPr="00DC315B" w:rsidRDefault="00701428" w:rsidP="0070142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DC31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4544FBE5" w:rsidR="002500BB" w:rsidRPr="00965A55" w:rsidRDefault="00701428" w:rsidP="0070142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C31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DC31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DC315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26EF7AE4" w:rsidR="009F1DC8" w:rsidRDefault="00DC315B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</w:t>
      </w:r>
      <w:r w:rsidR="00CA1DB1" w:rsidRPr="00CA1DB1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69F1DF43" w14:textId="69C7375F" w:rsidR="00DC315B" w:rsidRDefault="00DC315B" w:rsidP="00B31981">
      <w:pPr>
        <w:pStyle w:val="20"/>
        <w:shd w:val="clear" w:color="auto" w:fill="auto"/>
        <w:spacing w:after="0" w:line="233" w:lineRule="auto"/>
        <w:ind w:left="0" w:firstLine="0"/>
        <w:rPr>
          <w:color w:val="auto"/>
          <w:sz w:val="24"/>
          <w:szCs w:val="24"/>
        </w:rPr>
      </w:pPr>
      <w:r w:rsidRPr="00DC315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DC315B">
        <w:rPr>
          <w:color w:val="auto"/>
          <w:sz w:val="24"/>
          <w:szCs w:val="24"/>
        </w:rPr>
        <w:t>проєкту</w:t>
      </w:r>
      <w:proofErr w:type="spellEnd"/>
      <w:r w:rsidRPr="00DC315B">
        <w:rPr>
          <w:color w:val="auto"/>
          <w:sz w:val="24"/>
          <w:szCs w:val="24"/>
        </w:rPr>
        <w:t xml:space="preserve"> рішен</w:t>
      </w:r>
      <w:r>
        <w:rPr>
          <w:color w:val="auto"/>
          <w:sz w:val="24"/>
          <w:szCs w:val="24"/>
        </w:rPr>
        <w:t>ня стане реалізація громадянкою</w:t>
      </w:r>
      <w:r w:rsidRPr="00DC315B">
        <w:rPr>
          <w:color w:val="auto"/>
          <w:sz w:val="24"/>
          <w:szCs w:val="24"/>
        </w:rPr>
        <w:t xml:space="preserve">  своїх прав на оформлення земельної ділянки.    </w:t>
      </w:r>
    </w:p>
    <w:p w14:paraId="55BE69EF" w14:textId="77777777" w:rsidR="00DC315B" w:rsidRDefault="00DC315B" w:rsidP="00B31981">
      <w:pPr>
        <w:pStyle w:val="20"/>
        <w:shd w:val="clear" w:color="auto" w:fill="auto"/>
        <w:spacing w:after="0" w:line="233" w:lineRule="auto"/>
        <w:ind w:left="0" w:firstLine="0"/>
        <w:rPr>
          <w:color w:val="auto"/>
          <w:sz w:val="24"/>
          <w:szCs w:val="24"/>
        </w:rPr>
      </w:pPr>
    </w:p>
    <w:p w14:paraId="132C2EAD" w14:textId="7A48CBC6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524DAB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524DAB">
      <w:rPr>
        <w:sz w:val="12"/>
        <w:szCs w:val="12"/>
        <w:lang w:val="ru-RU"/>
      </w:rPr>
      <w:t>ПЗН-59899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30.11.2023</w:t>
    </w:r>
    <w:r w:rsidR="00862990">
      <w:rPr>
        <w:sz w:val="12"/>
        <w:szCs w:val="12"/>
      </w:rPr>
      <w:t xml:space="preserve"> до клопотання 536001981</w:t>
    </w:r>
  </w:p>
  <w:p w14:paraId="2CBD23C3" w14:textId="13C99BF0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6113F" w:rsidRPr="00B6113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4DAB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1428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A706C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C6CA8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D17FC"/>
    <w:rsid w:val="00AE208D"/>
    <w:rsid w:val="00AE450B"/>
    <w:rsid w:val="00B1344E"/>
    <w:rsid w:val="00B31981"/>
    <w:rsid w:val="00B5163D"/>
    <w:rsid w:val="00B6113F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844EC"/>
    <w:rsid w:val="00D962A9"/>
    <w:rsid w:val="00DC1064"/>
    <w:rsid w:val="00DC315B"/>
    <w:rsid w:val="00DC6EFC"/>
    <w:rsid w:val="00DD18F4"/>
    <w:rsid w:val="00DD788D"/>
    <w:rsid w:val="00DF3BF9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>Пояснювальна_записка Фіз передача відмова (клопотання)</vt:lpstr>
    </vt:vector>
  </TitlesOfParts>
  <Manager>Управління землеустрою</Manager>
  <Company>ДЕПАРТАМЕНТ ЗЕМЕЛЬНИХ РЕСУРСІВ</Company>
  <LinksUpToDate>false</LinksUpToDate>
  <CharactersWithSpaces>4651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user.kmr</cp:lastModifiedBy>
  <cp:revision>2</cp:revision>
  <cp:lastPrinted>2021-11-25T14:58:00Z</cp:lastPrinted>
  <dcterms:created xsi:type="dcterms:W3CDTF">2023-12-07T11:55:00Z</dcterms:created>
  <dcterms:modified xsi:type="dcterms:W3CDTF">2023-12-07T11:55:00Z</dcterms:modified>
</cp:coreProperties>
</file>