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535205550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535205550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7B936AA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385E75">
        <w:rPr>
          <w:b/>
          <w:bCs/>
          <w:sz w:val="24"/>
          <w:szCs w:val="24"/>
          <w:lang w:val="ru-RU"/>
        </w:rPr>
        <w:t>-65887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385E75">
        <w:rPr>
          <w:b/>
          <w:bCs/>
          <w:sz w:val="24"/>
          <w:szCs w:val="24"/>
          <w:lang w:val="ru-RU"/>
        </w:rPr>
        <w:t>14.05.2024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30F83AF" w14:textId="77777777" w:rsidR="00385E75" w:rsidRDefault="00385E75" w:rsidP="00385E75">
      <w:pPr>
        <w:pStyle w:val="a7"/>
        <w:shd w:val="clear" w:color="auto" w:fill="auto"/>
        <w:ind w:right="2693"/>
        <w:jc w:val="center"/>
        <w:rPr>
          <w:i/>
          <w:iCs/>
          <w:sz w:val="26"/>
          <w:szCs w:val="26"/>
        </w:rPr>
      </w:pPr>
      <w:r w:rsidRPr="00385E75">
        <w:rPr>
          <w:sz w:val="26"/>
          <w:szCs w:val="26"/>
        </w:rPr>
        <w:t>«</w:t>
      </w:r>
      <w:r w:rsidRPr="00385E75">
        <w:rPr>
          <w:i/>
          <w:iCs/>
          <w:sz w:val="26"/>
          <w:szCs w:val="26"/>
        </w:rPr>
        <w:t xml:space="preserve">Про поновлення приватному акціонерному товариству «КИЇВСЬКА ОВОЧЕВА ФАБРИКА» договору оренди </w:t>
      </w:r>
    </w:p>
    <w:p w14:paraId="1FB19D2B" w14:textId="375E988F" w:rsidR="00385E75" w:rsidRPr="00385E75" w:rsidRDefault="00385E75" w:rsidP="006B5D25">
      <w:pPr>
        <w:pStyle w:val="a7"/>
        <w:shd w:val="clear" w:color="auto" w:fill="auto"/>
        <w:tabs>
          <w:tab w:val="left" w:pos="6804"/>
        </w:tabs>
        <w:ind w:right="2835"/>
        <w:jc w:val="center"/>
        <w:rPr>
          <w:sz w:val="24"/>
          <w:szCs w:val="24"/>
        </w:rPr>
      </w:pPr>
      <w:r w:rsidRPr="00385E75">
        <w:rPr>
          <w:i/>
          <w:iCs/>
          <w:sz w:val="26"/>
          <w:szCs w:val="26"/>
        </w:rPr>
        <w:t>земельної ділянки від 31 липня 2009 року  № 040987300031 для будівництва та обслуговування об'єктів громадського та комерційного використання, торговельно-розважальних комплексів, офісних центрів, об'єктів житлової забудови, паркінгу в урочищі Болгарське у Голосіївському районі м. Києва»</w:t>
      </w:r>
    </w:p>
    <w:p w14:paraId="6F927EBC" w14:textId="77777777" w:rsidR="00385E75" w:rsidRDefault="00385E75" w:rsidP="00385E75">
      <w:pPr>
        <w:pStyle w:val="a7"/>
        <w:shd w:val="clear" w:color="auto" w:fill="auto"/>
        <w:ind w:left="704"/>
        <w:rPr>
          <w:sz w:val="24"/>
          <w:szCs w:val="24"/>
        </w:rPr>
      </w:pPr>
    </w:p>
    <w:p w14:paraId="04A53D07" w14:textId="7BE732BD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385E75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385E75" w:rsidRPr="00056A2A" w:rsidRDefault="00385E75" w:rsidP="00385E75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385E75">
              <w:rPr>
                <w:b w:val="0"/>
                <w:i/>
                <w:sz w:val="24"/>
                <w:szCs w:val="24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Назва</w:t>
            </w:r>
            <w:r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619921B4" w:rsidR="00385E75" w:rsidRPr="000B1E6A" w:rsidRDefault="00385E75" w:rsidP="00385E7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55B60">
              <w:rPr>
                <w:i/>
                <w:sz w:val="24"/>
                <w:szCs w:val="24"/>
              </w:rPr>
              <w:t>Приватне акціонерне товариство «КИЇВСЬКА ОВОЧЕВА ФАБРИКА» (ЄДРПОУ</w:t>
            </w:r>
            <w:r w:rsidRPr="00555B60">
              <w:rPr>
                <w:i/>
                <w:sz w:val="24"/>
                <w:szCs w:val="24"/>
                <w:lang w:val="ru-RU"/>
              </w:rPr>
              <w:t xml:space="preserve"> 00849304</w:t>
            </w:r>
            <w:r w:rsidRPr="00555B60">
              <w:rPr>
                <w:i/>
                <w:sz w:val="24"/>
                <w:szCs w:val="24"/>
              </w:rPr>
              <w:t>) (далі – Товариство)</w:t>
            </w:r>
          </w:p>
        </w:tc>
      </w:tr>
      <w:tr w:rsidR="00385E75" w:rsidRPr="00037B84" w14:paraId="34CD5485" w14:textId="77777777" w:rsidTr="00385E75">
        <w:trPr>
          <w:cantSplit/>
          <w:trHeight w:val="753"/>
        </w:trPr>
        <w:tc>
          <w:tcPr>
            <w:tcW w:w="2977" w:type="dxa"/>
          </w:tcPr>
          <w:p w14:paraId="7311DA8C" w14:textId="44FB98E4" w:rsidR="00385E75" w:rsidRPr="00056A2A" w:rsidRDefault="00385E75" w:rsidP="00385E75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385E75" w:rsidRPr="000B0B65" w:rsidRDefault="00385E75" w:rsidP="00385E75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4E96DFF5" w:rsidR="00385E75" w:rsidRPr="000B1E6A" w:rsidRDefault="00385E75" w:rsidP="00385E7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6643096C" w14:textId="343A0246" w:rsidR="00385E75" w:rsidRPr="00123E08" w:rsidRDefault="00385E75" w:rsidP="00385E7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55B60">
              <w:rPr>
                <w:i/>
                <w:sz w:val="24"/>
                <w:szCs w:val="24"/>
              </w:rPr>
              <w:t>Акціонери згідно реєстру власників іменних цінних паперів</w:t>
            </w:r>
          </w:p>
        </w:tc>
      </w:tr>
      <w:tr w:rsidR="00385E75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385E75" w:rsidRDefault="00385E75" w:rsidP="00385E75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385E7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385E75" w:rsidRPr="000B1E6A" w:rsidRDefault="00385E75" w:rsidP="00385E7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394B3ABA" w14:textId="77777777" w:rsidR="00385E75" w:rsidRPr="00555B60" w:rsidRDefault="00385E75" w:rsidP="00385E75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 w:rsidRPr="00555B60">
              <w:rPr>
                <w:i/>
                <w:sz w:val="24"/>
                <w:szCs w:val="24"/>
              </w:rPr>
              <w:t>Сердюк Артур Андрійович</w:t>
            </w:r>
          </w:p>
          <w:p w14:paraId="1C7A8B69" w14:textId="1618C053" w:rsidR="00385E75" w:rsidRPr="00037B84" w:rsidRDefault="00385E75" w:rsidP="00385E7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555B60">
              <w:rPr>
                <w:i/>
                <w:sz w:val="24"/>
                <w:szCs w:val="24"/>
              </w:rPr>
              <w:t>Україна, 04114, місто Київ, пров. Макіївський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14.03.2024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535205550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6BBAACEC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>№</w:t>
      </w:r>
      <w:r w:rsidR="00C55118" w:rsidRPr="00E14097">
        <w:rPr>
          <w:sz w:val="24"/>
          <w:szCs w:val="24"/>
        </w:rPr>
        <w:t>8000000000:79:091:0002</w:t>
      </w:r>
      <w:r w:rsidRPr="00037B84">
        <w:rPr>
          <w:sz w:val="24"/>
          <w:szCs w:val="24"/>
        </w:rPr>
        <w:t>)</w:t>
      </w:r>
      <w:r w:rsidR="008D70F3">
        <w:rPr>
          <w:sz w:val="24"/>
          <w:szCs w:val="24"/>
        </w:rPr>
        <w:t>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урочище Болгарське у Голосіївському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385E75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9,3284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385E75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03.15</w:t>
            </w:r>
            <w:r w:rsidR="005769B6" w:rsidRPr="00385E75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385E75">
              <w:rPr>
                <w:b/>
                <w:i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  <w:r w:rsidRPr="00385E75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385E75">
              <w:rPr>
                <w:b/>
                <w:i/>
                <w:sz w:val="24"/>
                <w:szCs w:val="24"/>
              </w:rPr>
              <w:t>для будівництва та обслуговування об'єктів громадського та комерційного використання, торговельно-розважальних комплексів, офісних центрів, об'єктів житлової забудови, паркінгу</w:t>
            </w:r>
            <w:r w:rsidRPr="00385E7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385E75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4B7E4308" w14:textId="77777777" w:rsidR="008D70F3" w:rsidRDefault="0033417F" w:rsidP="008D70F3">
            <w:pPr>
              <w:pStyle w:val="a4"/>
              <w:shd w:val="clear" w:color="auto" w:fill="auto"/>
              <w:ind w:firstLine="130"/>
              <w:jc w:val="both"/>
              <w:rPr>
                <w:b/>
                <w:i/>
                <w:sz w:val="24"/>
                <w:szCs w:val="24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8D70F3"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8D70F3" w:rsidRPr="00950130">
              <w:rPr>
                <w:b/>
                <w:i/>
                <w:sz w:val="24"/>
                <w:szCs w:val="24"/>
                <w:shd w:val="clear" w:color="auto" w:fill="FFFFFF"/>
              </w:rPr>
              <w:t>72 022</w:t>
            </w:r>
            <w:r w:rsidR="008D70F3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="008D70F3" w:rsidRPr="00950130">
              <w:rPr>
                <w:b/>
                <w:i/>
                <w:sz w:val="24"/>
                <w:szCs w:val="24"/>
                <w:shd w:val="clear" w:color="auto" w:fill="FFFFFF"/>
              </w:rPr>
              <w:t>316 грн</w:t>
            </w:r>
            <w:r w:rsidR="008D70F3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8D70F3" w:rsidRPr="00950130">
              <w:rPr>
                <w:b/>
                <w:i/>
                <w:sz w:val="24"/>
                <w:szCs w:val="24"/>
                <w:shd w:val="clear" w:color="auto" w:fill="FFFFFF"/>
              </w:rPr>
              <w:t xml:space="preserve">83 </w:t>
            </w:r>
            <w:r w:rsidR="008D70F3">
              <w:rPr>
                <w:b/>
                <w:i/>
                <w:sz w:val="24"/>
                <w:szCs w:val="24"/>
                <w:shd w:val="clear" w:color="auto" w:fill="FFFFFF"/>
              </w:rPr>
              <w:t>коп.</w:t>
            </w:r>
          </w:p>
          <w:p w14:paraId="0DCAEE6E" w14:textId="45DE7115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7AF309E7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</w:t>
      </w:r>
      <w:r w:rsidR="00E9355C">
        <w:rPr>
          <w:rFonts w:ascii="Times New Roman" w:hAnsi="Times New Roman" w:cs="Times New Roman"/>
        </w:rPr>
        <w:t xml:space="preserve"> (далі – Департамент)</w:t>
      </w:r>
      <w:r w:rsidRPr="00772C24">
        <w:rPr>
          <w:rFonts w:ascii="Times New Roman" w:hAnsi="Times New Roman" w:cs="Times New Roman"/>
        </w:rPr>
        <w:t xml:space="preserve">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11B4098" w14:textId="77777777" w:rsidR="008D70F3" w:rsidRDefault="008D70F3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D5250B5" w14:textId="77777777" w:rsidR="008D70F3" w:rsidRDefault="008D70F3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31ED495" w14:textId="77777777" w:rsidR="008D70F3" w:rsidRDefault="008D70F3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D15BA2B" w14:textId="77777777" w:rsidR="008D70F3" w:rsidRDefault="008D70F3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4C647FE" w14:textId="77777777" w:rsidR="008D70F3" w:rsidRDefault="008D70F3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EEA8157" w14:textId="77777777" w:rsidR="008D70F3" w:rsidRDefault="008D70F3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EE1C61F" w14:textId="77777777" w:rsidR="008D70F3" w:rsidRDefault="008D70F3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D70F3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8D70F3" w:rsidRPr="00776E89" w:rsidRDefault="008D70F3" w:rsidP="008D70F3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D70F3" w:rsidRPr="00037B84" w:rsidRDefault="008D70F3" w:rsidP="008D70F3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71E144EC" w14:textId="77777777" w:rsidR="008D70F3" w:rsidRPr="00E82C5A" w:rsidRDefault="008D70F3" w:rsidP="008D70F3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82C5A">
              <w:rPr>
                <w:b w:val="0"/>
                <w:bCs w:val="0"/>
                <w:i/>
                <w:sz w:val="24"/>
                <w:szCs w:val="24"/>
              </w:rPr>
              <w:t>Вільна від капітальної забудови.</w:t>
            </w:r>
          </w:p>
          <w:p w14:paraId="506E57A9" w14:textId="54EF37CE" w:rsidR="008D70F3" w:rsidRPr="008D70F3" w:rsidRDefault="008D70F3" w:rsidP="008D70F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40F54">
              <w:rPr>
                <w:rFonts w:ascii="Times New Roman" w:eastAsia="Times New Roman" w:hAnsi="Times New Roman" w:cs="Times New Roman"/>
                <w:i/>
                <w:color w:val="auto"/>
              </w:rPr>
              <w:t>Більша частина земельної ділянки не огороджена, доступ до неї вільний, вільна від будь-якої забудови та зайнята дикою рослинністю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 w:rsidRPr="00F40F54">
              <w:rPr>
                <w:rFonts w:ascii="Times New Roman" w:eastAsia="Times New Roman" w:hAnsi="Times New Roman" w:cs="Times New Roman"/>
                <w:i/>
                <w:color w:val="auto"/>
              </w:rPr>
              <w:t>разом з тим частин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F40F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вказаної земельної ділянки (орієнтовною площею 0,06 га) спільно огороджен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</w:t>
            </w:r>
            <w:r w:rsidRPr="00F40F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парканом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суміжною земельною ділянкою (кадастровий номер </w:t>
            </w:r>
            <w:r w:rsidRPr="00F40F5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8000000000:79:091:00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</w:t>
            </w:r>
            <w:r w:rsidRPr="00F40F54">
              <w:rPr>
                <w:rFonts w:ascii="Times New Roman" w:eastAsia="Times New Roman" w:hAnsi="Times New Roman" w:cs="Times New Roman"/>
                <w:i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), яка перебуває в постійному користуванні </w:t>
            </w:r>
            <w:r w:rsidRPr="00CE2C6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Свято-Успенської Києво-Печерської Лаври (чоловічий монастир) Української Православної Церкви,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та </w:t>
            </w:r>
            <w:r w:rsidRPr="00CE2C69">
              <w:rPr>
                <w:rFonts w:ascii="Times New Roman" w:eastAsia="Times New Roman" w:hAnsi="Times New Roman" w:cs="Times New Roman"/>
                <w:i/>
                <w:color w:val="auto"/>
              </w:rPr>
              <w:t>облаштовано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 як</w:t>
            </w:r>
            <w:r w:rsidRPr="00CE2C6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кладовище з похованням ченців релігійної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громади</w:t>
            </w:r>
            <w:r w:rsidRPr="00CE2C6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(акт обстеження земельної ділянки від</w:t>
            </w:r>
            <w:r w:rsidRPr="00386E1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23.04.2024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386E15">
              <w:rPr>
                <w:rFonts w:ascii="Times New Roman" w:eastAsia="Times New Roman" w:hAnsi="Times New Roman" w:cs="Times New Roman"/>
                <w:i/>
                <w:color w:val="auto"/>
              </w:rPr>
              <w:t>ДК/9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7</w:t>
            </w:r>
            <w:r w:rsidRPr="00386E15">
              <w:rPr>
                <w:rFonts w:ascii="Times New Roman" w:eastAsia="Times New Roman" w:hAnsi="Times New Roman" w:cs="Times New Roman"/>
                <w:i/>
                <w:color w:val="auto"/>
              </w:rPr>
              <w:t>-АО/2024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8D70F3" w:rsidRPr="00037B84" w14:paraId="411B143D" w14:textId="77777777" w:rsidTr="008D70F3">
        <w:trPr>
          <w:cantSplit/>
          <w:trHeight w:val="397"/>
        </w:trPr>
        <w:tc>
          <w:tcPr>
            <w:tcW w:w="2972" w:type="dxa"/>
          </w:tcPr>
          <w:p w14:paraId="2C032EFE" w14:textId="4705779A" w:rsidR="008D70F3" w:rsidRPr="00037B84" w:rsidRDefault="008D70F3" w:rsidP="008D70F3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D70F3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4BF018AB" w14:textId="77777777" w:rsidR="008D70F3" w:rsidRDefault="008D70F3" w:rsidP="008D70F3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AB5D1C">
              <w:rPr>
                <w:b w:val="0"/>
                <w:bCs w:val="0"/>
                <w:i/>
                <w:sz w:val="24"/>
                <w:szCs w:val="24"/>
              </w:rPr>
              <w:t xml:space="preserve">Детальний план території </w:t>
            </w:r>
            <w:r>
              <w:rPr>
                <w:b w:val="0"/>
                <w:bCs w:val="0"/>
                <w:i/>
                <w:sz w:val="24"/>
                <w:szCs w:val="24"/>
              </w:rPr>
              <w:t>не затверджено</w:t>
            </w:r>
            <w:r w:rsidRPr="00AB5D1C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112E87C4" w14:textId="1AAF2376" w:rsidR="008D70F3" w:rsidRPr="00EE137E" w:rsidRDefault="008D70F3" w:rsidP="008D70F3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BA0A80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BA0A80" w:rsidRPr="00776E89" w:rsidRDefault="00BA0A80" w:rsidP="00BA0A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BA0A80" w:rsidRPr="00037B84" w:rsidRDefault="00BA0A80" w:rsidP="00BA0A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FC7A92">
              <w:rPr>
                <w:b w:val="0"/>
                <w:i/>
                <w:sz w:val="24"/>
                <w:szCs w:val="24"/>
              </w:rPr>
              <w:t>п</w:t>
            </w:r>
            <w:r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BA0A80" w:rsidRPr="00037B84" w:rsidRDefault="00BA0A80" w:rsidP="00BA0A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згідно</w:t>
            </w:r>
            <w:r w:rsidRPr="004D4B3C">
              <w:rPr>
                <w:b w:val="0"/>
                <w:i/>
                <w:sz w:val="24"/>
                <w:szCs w:val="24"/>
              </w:rPr>
              <w:t xml:space="preserve"> з Генпланом</w:t>
            </w:r>
            <w:r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B276EAD" w:rsidR="00BA0A80" w:rsidRPr="00EE137E" w:rsidRDefault="00BA0A80" w:rsidP="00BA0A80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Р</w:t>
            </w:r>
            <w:r w:rsidRPr="003670F8">
              <w:rPr>
                <w:b w:val="0"/>
                <w:bCs w:val="0"/>
                <w:i/>
                <w:sz w:val="24"/>
                <w:szCs w:val="24"/>
              </w:rPr>
              <w:t>ішення</w:t>
            </w:r>
            <w:r>
              <w:rPr>
                <w:b w:val="0"/>
                <w:bCs w:val="0"/>
                <w:i/>
                <w:sz w:val="24"/>
                <w:szCs w:val="24"/>
              </w:rPr>
              <w:t>м</w:t>
            </w:r>
            <w:r w:rsidRPr="003670F8">
              <w:rPr>
                <w:b w:val="0"/>
                <w:bCs w:val="0"/>
                <w:i/>
                <w:sz w:val="24"/>
                <w:szCs w:val="24"/>
              </w:rPr>
              <w:t xml:space="preserve"> Київської міської ради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3670F8">
              <w:rPr>
                <w:b w:val="0"/>
                <w:bCs w:val="0"/>
                <w:i/>
                <w:sz w:val="24"/>
                <w:szCs w:val="24"/>
              </w:rPr>
              <w:t>від 29.11.2007 № 132</w:t>
            </w:r>
            <w:r>
              <w:rPr>
                <w:b w:val="0"/>
                <w:bCs w:val="0"/>
                <w:i/>
                <w:sz w:val="24"/>
                <w:szCs w:val="24"/>
              </w:rPr>
              <w:t>4</w:t>
            </w:r>
            <w:r w:rsidRPr="003670F8">
              <w:rPr>
                <w:b w:val="0"/>
                <w:bCs w:val="0"/>
                <w:i/>
                <w:sz w:val="24"/>
                <w:szCs w:val="24"/>
              </w:rPr>
              <w:t>/415</w:t>
            </w:r>
            <w:r>
              <w:rPr>
                <w:b w:val="0"/>
                <w:bCs w:val="0"/>
                <w:i/>
                <w:sz w:val="24"/>
                <w:szCs w:val="24"/>
              </w:rPr>
              <w:t>7</w:t>
            </w:r>
            <w:r w:rsidRPr="003670F8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внесено</w:t>
            </w:r>
            <w:r w:rsidRPr="003670F8">
              <w:rPr>
                <w:b w:val="0"/>
                <w:bCs w:val="0"/>
                <w:i/>
                <w:sz w:val="24"/>
                <w:szCs w:val="24"/>
              </w:rPr>
              <w:t xml:space="preserve"> зміни до Генерального плану міста Києва та про</w:t>
            </w:r>
            <w:r>
              <w:rPr>
                <w:b w:val="0"/>
                <w:bCs w:val="0"/>
                <w:i/>
                <w:sz w:val="24"/>
                <w:szCs w:val="24"/>
              </w:rPr>
              <w:t>е</w:t>
            </w:r>
            <w:r w:rsidRPr="003670F8">
              <w:rPr>
                <w:b w:val="0"/>
                <w:bCs w:val="0"/>
                <w:i/>
                <w:sz w:val="24"/>
                <w:szCs w:val="24"/>
              </w:rPr>
              <w:t>кту планування його приміської зони на період до 2020 року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щодо функціонального призначення території та віднесено цю</w:t>
            </w:r>
            <w:r w:rsidRPr="005D3F81">
              <w:rPr>
                <w:b w:val="0"/>
                <w:bCs w:val="0"/>
                <w:i/>
                <w:sz w:val="24"/>
                <w:szCs w:val="24"/>
              </w:rPr>
              <w:t xml:space="preserve"> земельну ділянку </w:t>
            </w:r>
            <w:r w:rsidRPr="003670F8">
              <w:rPr>
                <w:b w:val="0"/>
                <w:bCs w:val="0"/>
                <w:i/>
                <w:sz w:val="24"/>
                <w:szCs w:val="24"/>
              </w:rPr>
              <w:t>до території земель житлової та громадської забудови.</w:t>
            </w:r>
          </w:p>
        </w:tc>
      </w:tr>
      <w:tr w:rsidR="00BA0A80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BA0A80" w:rsidRPr="00037B84" w:rsidRDefault="00BA0A80" w:rsidP="00BA0A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BA0A80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7A2DC828" w14:textId="77777777" w:rsidR="00BA0A80" w:rsidRPr="00EE137E" w:rsidRDefault="00BA0A80" w:rsidP="00BA0A80">
            <w:pPr>
              <w:pStyle w:val="a7"/>
              <w:shd w:val="clear" w:color="auto" w:fill="auto"/>
              <w:ind w:right="32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14:paraId="4964A72F" w14:textId="77777777" w:rsidR="00BA0A80" w:rsidRDefault="00BA0A80" w:rsidP="00BA0A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</w:t>
            </w:r>
            <w:r w:rsidRPr="00555B60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,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14:paraId="0EC5BAC8" w14:textId="02CDA9BC" w:rsidR="00BA0A80" w:rsidRPr="00EE137E" w:rsidRDefault="00BA0A80" w:rsidP="00BA0A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 код виду цільового призначення 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555B60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03.15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BA0A80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BA0A80" w:rsidRDefault="00BA0A80" w:rsidP="00BA0A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BA0A80" w:rsidRPr="00037B84" w:rsidRDefault="00BA0A80" w:rsidP="00BA0A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26F53E55" w:rsidR="00BA0A80" w:rsidRPr="00BA0A80" w:rsidRDefault="00BA0A80" w:rsidP="00BA0A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F1D8B">
              <w:rPr>
                <w:b w:val="0"/>
                <w:bCs w:val="0"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BA0A80" w:rsidRPr="00037B84" w14:paraId="33ABBC9B" w14:textId="77777777" w:rsidTr="00430CA4">
        <w:trPr>
          <w:cantSplit/>
          <w:trHeight w:val="1413"/>
        </w:trPr>
        <w:tc>
          <w:tcPr>
            <w:tcW w:w="2972" w:type="dxa"/>
          </w:tcPr>
          <w:p w14:paraId="15B3CA54" w14:textId="0BA2AB9D" w:rsidR="00BA0A80" w:rsidRPr="009715E8" w:rsidRDefault="009715E8" w:rsidP="00BA0A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Інші особ</w:t>
            </w:r>
            <w:r w:rsidR="00FB573F">
              <w:rPr>
                <w:b w:val="0"/>
                <w:i/>
                <w:sz w:val="24"/>
                <w:szCs w:val="24"/>
              </w:rPr>
              <w:t>ли</w:t>
            </w:r>
            <w:r>
              <w:rPr>
                <w:b w:val="0"/>
                <w:i/>
                <w:sz w:val="24"/>
                <w:szCs w:val="24"/>
              </w:rPr>
              <w:t>вості:</w:t>
            </w:r>
          </w:p>
        </w:tc>
        <w:tc>
          <w:tcPr>
            <w:tcW w:w="6662" w:type="dxa"/>
          </w:tcPr>
          <w:p w14:paraId="47B92220" w14:textId="77777777" w:rsidR="009715E8" w:rsidRPr="00AB5D1C" w:rsidRDefault="009715E8" w:rsidP="009715E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AB5D1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відповідно до рішення Київської міської ради від 29.11.2007 № 132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</w:t>
            </w:r>
            <w:r w:rsidRPr="00AB5D1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/415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7</w:t>
            </w:r>
            <w:r w:rsidRPr="00AB5D1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надана в довгострокову оренду на 15 років Товариству для будівництва та обслуговування об'єктів громадського та комерційного використання, торговельно-розважальних комплексів, офісних центрів, об'єктів житлової забудови, паркінгу.</w:t>
            </w:r>
          </w:p>
          <w:p w14:paraId="33163F97" w14:textId="77777777" w:rsidR="00C50975" w:rsidRPr="00BD315C" w:rsidRDefault="00C50975" w:rsidP="00C5097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D315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Договір оренди земельної ділянки визнано укладеним рішенням Господарського суду м. Києва від 19.06.2008 № 4/261, залишеним без змін постановою Київського апеляційного господарського суду від 11.09.2008 та постановою Вищого господарського суду України від 09.06.2009, який зареєстровано 31.07.2009 за № 040987300031 </w:t>
            </w:r>
            <w:r w:rsidRPr="00BD315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Київською міською філією державного підприємства «Центр державного земельного кадастру при Державному комітеті України по земельних ресурсах»</w:t>
            </w:r>
            <w:r w:rsidRPr="00BD315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7925453" w14:textId="77777777" w:rsidR="00C50975" w:rsidRPr="00BD315C" w:rsidRDefault="00C50975" w:rsidP="00C509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D315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згідно з Державним реєстром речових прав на нерухоме майно до </w:t>
            </w:r>
            <w:r w:rsidRPr="00BD315C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30.07.2024.</w:t>
            </w:r>
          </w:p>
          <w:p w14:paraId="2D65C10C" w14:textId="77777777" w:rsidR="00BA0A80" w:rsidRPr="000F1D8B" w:rsidRDefault="00BA0A80" w:rsidP="00BA0A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4B5D28C5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714AA98A" w14:textId="77777777" w:rsidR="009715E8" w:rsidRPr="00BD315C" w:rsidRDefault="009715E8" w:rsidP="009715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D315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14.02.2024                                № </w:t>
            </w:r>
            <w:r w:rsidRPr="00BD315C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10393/6/26-15-13-01-08 </w:t>
            </w:r>
            <w:r w:rsidRPr="00BD315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станом на 13.02.2024 у Товариства заборгованість по орендній платі з юридичних осіб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не обліковується</w:t>
            </w:r>
            <w:r w:rsidRPr="00BD315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1374A812" w14:textId="77777777" w:rsidR="00E9355C" w:rsidRDefault="00E9355C" w:rsidP="00E93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C3F49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ГУ ДПС у м. Києві від 13.05.2024                            № 13540/5/26-15-13-01-05 станом на 01.05.2024 Товариство не включено до переліку підприємств-боржників зі сплати земельного податку та орендної плати за землю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D607BA6" w14:textId="77777777" w:rsidR="00E9355C" w:rsidRDefault="00E9355C" w:rsidP="00E93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79748996" w14:textId="77777777" w:rsidR="00E9355C" w:rsidRPr="006621B3" w:rsidRDefault="00E9355C" w:rsidP="00E9355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6621B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Водночас у Київській міській раді опрацьовується </w:t>
            </w:r>
            <w:bookmarkStart w:id="0" w:name="_Hlk165629233"/>
            <w:r w:rsidRPr="006621B3">
              <w:rPr>
                <w:rFonts w:ascii="Times New Roman" w:hAnsi="Times New Roman" w:cs="Times New Roman"/>
                <w:i/>
              </w:rPr>
              <w:t>електронна петиція № 12969 «Захистити від забудови поселення часів Київської Русі в урочищі Китаїв»</w:t>
            </w:r>
            <w:bookmarkEnd w:id="0"/>
            <w:r w:rsidRPr="006621B3">
              <w:rPr>
                <w:rFonts w:ascii="Times New Roman" w:hAnsi="Times New Roman" w:cs="Times New Roman"/>
                <w:i/>
              </w:rPr>
              <w:t>.</w:t>
            </w:r>
          </w:p>
          <w:p w14:paraId="06CF2A1E" w14:textId="77777777" w:rsidR="00E9355C" w:rsidRPr="006621B3" w:rsidRDefault="00E9355C" w:rsidP="00E93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548F86A8" w14:textId="77777777" w:rsidR="00E9355C" w:rsidRDefault="00E9355C" w:rsidP="00E9355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B66EC9">
              <w:rPr>
                <w:rFonts w:ascii="Times New Roman" w:hAnsi="Times New Roman" w:cs="Times New Roman"/>
                <w:i/>
              </w:rPr>
              <w:t>Разом з цим, громадська організація «Спадщина Китаєва» листом від 19.04.2024 № 19/04-4-8 просить відхилити  електронну петицію № 12969, оскільки вона порушує права громадськості вибудовувати конструктивні відносини між громадою і бізнесом в розвитку територій.</w:t>
            </w:r>
          </w:p>
          <w:p w14:paraId="212DB8FE" w14:textId="77777777" w:rsidR="00E9355C" w:rsidRDefault="00E9355C" w:rsidP="00E9355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721EB991" w14:textId="77777777" w:rsidR="00E9355C" w:rsidRPr="00B66EC9" w:rsidRDefault="00E9355C" w:rsidP="00E9355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B66EC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B66EC9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1FC1F2F4" w14:textId="77777777" w:rsidR="00E9355C" w:rsidRPr="00B66EC9" w:rsidRDefault="00E9355C" w:rsidP="00E9355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6E92371B" w14:textId="77777777" w:rsidR="00E9355C" w:rsidRPr="00B66EC9" w:rsidRDefault="00E9355C" w:rsidP="00E9355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B66EC9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7A58F70C" w14:textId="77777777" w:rsidR="00E9355C" w:rsidRPr="00B66EC9" w:rsidRDefault="00E9355C" w:rsidP="00E9355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381CEF3E" w14:textId="6F87D54B" w:rsidR="00DE0E7B" w:rsidRPr="00181E12" w:rsidRDefault="003446E8" w:rsidP="00181E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16142">
              <w:rPr>
                <w:rStyle w:val="normaltextrun"/>
                <w:rFonts w:ascii="Times New Roman" w:hAnsi="Times New Roman" w:cs="Times New Roman"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  <w:r w:rsidRPr="00F16142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7ACDB588" w14:textId="5A79FA03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</w:t>
      </w:r>
      <w:r w:rsidR="00132968">
        <w:rPr>
          <w:i w:val="0"/>
          <w:sz w:val="24"/>
          <w:szCs w:val="24"/>
        </w:rPr>
        <w:t> </w:t>
      </w:r>
      <w:r w:rsidRPr="001D49C8">
        <w:rPr>
          <w:i w:val="0"/>
          <w:sz w:val="24"/>
          <w:szCs w:val="24"/>
        </w:rPr>
        <w:t>20.04.2017 № 241/2463.</w:t>
      </w:r>
    </w:p>
    <w:p w14:paraId="5636980B" w14:textId="0066ADE2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 xml:space="preserve">кт рішення </w:t>
      </w:r>
      <w:r w:rsidRPr="009715E8">
        <w:rPr>
          <w:i w:val="0"/>
          <w:sz w:val="24"/>
          <w:szCs w:val="24"/>
        </w:rPr>
        <w:t>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 xml:space="preserve">Проєкт рішення </w:t>
      </w:r>
      <w:r w:rsidRPr="009715E8">
        <w:rPr>
          <w:rFonts w:ascii="Times New Roman" w:eastAsia="Times New Roman" w:hAnsi="Times New Roman" w:cs="Times New Roman"/>
          <w:iCs/>
        </w:rPr>
        <w:t>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4F0129A" w:rsidR="006A19D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9715E8" w:rsidRPr="00173359">
        <w:rPr>
          <w:b/>
          <w:color w:val="auto"/>
          <w:sz w:val="24"/>
          <w:szCs w:val="24"/>
          <w:shd w:val="clear" w:color="auto" w:fill="FFFFFF"/>
        </w:rPr>
        <w:t xml:space="preserve">7 202 231,68 </w:t>
      </w:r>
      <w:r w:rsidR="009715E8" w:rsidRPr="00155681">
        <w:rPr>
          <w:b/>
          <w:sz w:val="24"/>
          <w:szCs w:val="24"/>
          <w:shd w:val="clear" w:color="auto" w:fill="FFFFFF"/>
        </w:rPr>
        <w:t>грн на рік</w:t>
      </w:r>
      <w:r w:rsidR="009715E8">
        <w:rPr>
          <w:b/>
          <w:sz w:val="24"/>
          <w:szCs w:val="24"/>
          <w:shd w:val="clear" w:color="auto" w:fill="FFFFFF"/>
        </w:rPr>
        <w:t xml:space="preserve"> (10%)</w:t>
      </w:r>
      <w:r w:rsidRPr="009C1880">
        <w:rPr>
          <w:b/>
          <w:sz w:val="24"/>
          <w:szCs w:val="24"/>
          <w:shd w:val="clear" w:color="auto" w:fill="FFFFFF"/>
        </w:rPr>
        <w:t>.</w:t>
      </w:r>
    </w:p>
    <w:p w14:paraId="590668A6" w14:textId="5FC87C0D" w:rsidR="003446E8" w:rsidRDefault="003446E8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</w:p>
    <w:p w14:paraId="294BE915" w14:textId="35EB57EA" w:rsidR="003446E8" w:rsidRDefault="003446E8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</w:p>
    <w:p w14:paraId="20986EFF" w14:textId="77777777" w:rsidR="003446E8" w:rsidRPr="006D7E33" w:rsidRDefault="003446E8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bookmarkStart w:id="1" w:name="_GoBack"/>
      <w:bookmarkEnd w:id="1"/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20D6EBA7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9715E8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385E75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385E75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385E75">
          <w:rPr>
            <w:i w:val="0"/>
            <w:sz w:val="12"/>
            <w:szCs w:val="12"/>
            <w:lang w:val="ru-RU"/>
          </w:rPr>
          <w:t>-65887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385E75">
          <w:rPr>
            <w:i w:val="0"/>
            <w:sz w:val="12"/>
            <w:szCs w:val="12"/>
            <w:lang w:val="ru-RU"/>
          </w:rPr>
          <w:t>14.05.2024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385E75">
          <w:rPr>
            <w:i w:val="0"/>
            <w:sz w:val="12"/>
            <w:szCs w:val="12"/>
            <w:lang w:val="ru-RU"/>
          </w:rPr>
          <w:t>535205550</w:t>
        </w:r>
      </w:p>
      <w:p w14:paraId="0BF67CBB" w14:textId="0B6295B6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446E8" w:rsidRPr="003446E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07F"/>
    <w:rsid w:val="001121A7"/>
    <w:rsid w:val="00117719"/>
    <w:rsid w:val="001239A5"/>
    <w:rsid w:val="00123E08"/>
    <w:rsid w:val="00132968"/>
    <w:rsid w:val="00150E38"/>
    <w:rsid w:val="001520B5"/>
    <w:rsid w:val="00170CE7"/>
    <w:rsid w:val="00177E1A"/>
    <w:rsid w:val="0018193A"/>
    <w:rsid w:val="00181E12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446E8"/>
    <w:rsid w:val="003525A6"/>
    <w:rsid w:val="0035749D"/>
    <w:rsid w:val="003842F5"/>
    <w:rsid w:val="00385014"/>
    <w:rsid w:val="00385E75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0EF8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B5D25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D70F3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715E8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0A80"/>
    <w:rsid w:val="00BA5124"/>
    <w:rsid w:val="00BF1120"/>
    <w:rsid w:val="00C241ED"/>
    <w:rsid w:val="00C414E0"/>
    <w:rsid w:val="00C50743"/>
    <w:rsid w:val="00C50975"/>
    <w:rsid w:val="00C55118"/>
    <w:rsid w:val="00C720F1"/>
    <w:rsid w:val="00C77018"/>
    <w:rsid w:val="00C80013"/>
    <w:rsid w:val="00C87AA9"/>
    <w:rsid w:val="00C91423"/>
    <w:rsid w:val="00C91E5C"/>
    <w:rsid w:val="00C93024"/>
    <w:rsid w:val="00C94510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A6D96"/>
    <w:rsid w:val="00DB129C"/>
    <w:rsid w:val="00DD34E7"/>
    <w:rsid w:val="00DE0E7B"/>
    <w:rsid w:val="00E05220"/>
    <w:rsid w:val="00E27308"/>
    <w:rsid w:val="00E40910"/>
    <w:rsid w:val="00E5752E"/>
    <w:rsid w:val="00E7338E"/>
    <w:rsid w:val="00E77A9B"/>
    <w:rsid w:val="00E8544C"/>
    <w:rsid w:val="00E9355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573F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customStyle="1" w:styleId="normaltextrun">
    <w:name w:val="normaltextrun"/>
    <w:basedOn w:val="a0"/>
    <w:rsid w:val="003446E8"/>
  </w:style>
  <w:style w:type="character" w:customStyle="1" w:styleId="eop">
    <w:name w:val="eop"/>
    <w:basedOn w:val="a0"/>
    <w:rsid w:val="0034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FD9A-097E-40D9-A30A-D6453DA7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7954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Романенко Ганна Василівна</cp:lastModifiedBy>
  <cp:revision>2</cp:revision>
  <cp:lastPrinted>2021-11-25T14:16:00Z</cp:lastPrinted>
  <dcterms:created xsi:type="dcterms:W3CDTF">2024-05-22T06:03:00Z</dcterms:created>
  <dcterms:modified xsi:type="dcterms:W3CDTF">2024-05-22T06:03:00Z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2024-05-14T09:42:37Z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1fb55dbf-7806-4bc5-b8a2-c9e375e5607d</vt:lpwstr>
  </property>
  <property fmtid="{D5CDD505-2E9C-101B-9397-08002B2CF9AE}" pid="8" name="MSIP_Label_defa4170-0d19-0005-0004-bc88714345d2_ContentBits">
    <vt:lpwstr>0</vt:lpwstr>
  </property>
</Properties>
</file>