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524327521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524327521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5D7A0B7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7B4D05">
        <w:rPr>
          <w:b/>
          <w:bCs/>
          <w:sz w:val="24"/>
          <w:szCs w:val="24"/>
        </w:rPr>
        <w:t>ПЗН-72908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7B4D05">
        <w:rPr>
          <w:b/>
          <w:bCs/>
          <w:sz w:val="24"/>
          <w:szCs w:val="24"/>
        </w:rPr>
        <w:t>18.02.2025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697B5C39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E56BB9">
        <w:rPr>
          <w:b/>
          <w:i/>
          <w:iCs/>
          <w:sz w:val="24"/>
          <w:szCs w:val="24"/>
        </w:rPr>
        <w:t>громадянці</w:t>
      </w:r>
      <w:r w:rsidR="00CC567E">
        <w:rPr>
          <w:b/>
          <w:i/>
          <w:iCs/>
          <w:sz w:val="24"/>
          <w:szCs w:val="24"/>
        </w:rPr>
        <w:t xml:space="preserve"> </w:t>
      </w:r>
      <w:r w:rsidR="00765699" w:rsidRPr="00E56BB9">
        <w:rPr>
          <w:b/>
          <w:i/>
          <w:iCs/>
          <w:sz w:val="24"/>
          <w:szCs w:val="24"/>
        </w:rPr>
        <w:t>Соловей Людмилі Павлівні</w:t>
      </w:r>
      <w:r w:rsidR="009B470E">
        <w:rPr>
          <w:b/>
          <w:i/>
          <w:iCs/>
          <w:sz w:val="24"/>
          <w:szCs w:val="24"/>
        </w:rPr>
        <w:t xml:space="preserve"> у власність земельної ділянки </w:t>
      </w:r>
      <w:r w:rsidR="00E06799" w:rsidRPr="00E06799">
        <w:rPr>
          <w:rStyle w:val="af"/>
          <w:b/>
          <w:sz w:val="24"/>
          <w:szCs w:val="24"/>
        </w:rPr>
        <w:t>для будівн</w:t>
      </w:r>
      <w:r w:rsidR="00CE2C4E">
        <w:rPr>
          <w:rStyle w:val="af"/>
          <w:b/>
          <w:sz w:val="24"/>
          <w:szCs w:val="24"/>
        </w:rPr>
        <w:t>ицтва і обслуговування жилого</w:t>
      </w:r>
      <w:bookmarkStart w:id="0" w:name="_GoBack"/>
      <w:bookmarkEnd w:id="0"/>
      <w:r w:rsidR="00E06799" w:rsidRPr="00E06799">
        <w:rPr>
          <w:rStyle w:val="af"/>
          <w:b/>
          <w:sz w:val="24"/>
          <w:szCs w:val="24"/>
        </w:rPr>
        <w:t xml:space="preserve"> будинку, господарських будівель і споруд (присадибна ділянка)</w:t>
      </w:r>
      <w:r w:rsidR="00E06799" w:rsidRPr="00E06799">
        <w:rPr>
          <w:rStyle w:val="af"/>
          <w:b/>
        </w:rPr>
        <w:t xml:space="preserve"> </w:t>
      </w:r>
      <w:r w:rsidRPr="003774B2">
        <w:rPr>
          <w:b/>
          <w:i/>
          <w:iCs/>
          <w:sz w:val="24"/>
          <w:szCs w:val="24"/>
        </w:rPr>
        <w:t xml:space="preserve">на </w:t>
      </w:r>
      <w:r w:rsidR="00765699" w:rsidRPr="003774B2">
        <w:rPr>
          <w:b/>
          <w:i/>
          <w:iCs/>
          <w:sz w:val="24"/>
          <w:szCs w:val="24"/>
        </w:rPr>
        <w:t xml:space="preserve">вул. </w:t>
      </w:r>
      <w:proofErr w:type="spellStart"/>
      <w:r w:rsidR="00765699" w:rsidRPr="003774B2">
        <w:rPr>
          <w:b/>
          <w:i/>
          <w:iCs/>
          <w:sz w:val="24"/>
          <w:szCs w:val="24"/>
        </w:rPr>
        <w:t>Маслівка</w:t>
      </w:r>
      <w:proofErr w:type="spellEnd"/>
      <w:r w:rsidR="00765699" w:rsidRPr="003774B2">
        <w:rPr>
          <w:b/>
          <w:i/>
          <w:iCs/>
          <w:sz w:val="24"/>
          <w:szCs w:val="24"/>
        </w:rPr>
        <w:t>, 40</w:t>
      </w:r>
      <w:r w:rsidR="00E17376" w:rsidRPr="003774B2">
        <w:rPr>
          <w:b/>
          <w:i/>
          <w:iCs/>
          <w:sz w:val="24"/>
          <w:szCs w:val="24"/>
        </w:rPr>
        <w:t xml:space="preserve"> 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Дарницькому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Соловей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Павлівна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01.10.2024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524327521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8000000000:90:681:0280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Маслівка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40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0,0748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5F04B56" w:rsidR="00E659C4" w:rsidRPr="00EA27C8" w:rsidRDefault="00E56BB9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062752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59A2B96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56BB9" w:rsidRPr="00062752">
              <w:rPr>
                <w:b w:val="0"/>
                <w:i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373" w:type="dxa"/>
          </w:tcPr>
          <w:p w14:paraId="1AB1CB5D" w14:textId="19C1CB4E" w:rsidR="00E659C4" w:rsidRPr="00EA27C8" w:rsidRDefault="00E56BB9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062752"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56BB9" w14:paraId="6840B488" w14:textId="77777777" w:rsidTr="00EA27C8">
        <w:tc>
          <w:tcPr>
            <w:tcW w:w="3374" w:type="dxa"/>
          </w:tcPr>
          <w:p w14:paraId="4A1F8396" w14:textId="130813D4" w:rsidR="00E56BB9" w:rsidRDefault="00E56BB9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62752">
              <w:rPr>
                <w:b w:val="0"/>
                <w:i/>
                <w:sz w:val="24"/>
                <w:szCs w:val="24"/>
              </w:rPr>
              <w:t>Цільове призначення: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14:paraId="3607E749" w14:textId="264BB0A3" w:rsidR="00E56BB9" w:rsidRPr="00062752" w:rsidRDefault="00E56BB9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062752">
              <w:rPr>
                <w:b w:val="0"/>
                <w:i/>
                <w:sz w:val="24"/>
                <w:szCs w:val="24"/>
              </w:rPr>
              <w:t>02.01 для будівн</w:t>
            </w:r>
            <w:r w:rsidR="009A1817">
              <w:rPr>
                <w:b w:val="0"/>
                <w:i/>
                <w:sz w:val="24"/>
                <w:szCs w:val="24"/>
              </w:rPr>
              <w:t>ицтва і обслуговування житлового</w:t>
            </w:r>
            <w:r w:rsidRPr="00062752">
              <w:rPr>
                <w:b w:val="0"/>
                <w:i/>
                <w:sz w:val="24"/>
                <w:szCs w:val="24"/>
              </w:rPr>
              <w:t xml:space="preserve">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3676D2F" w14:textId="4D96AE8C" w:rsidR="00B46331" w:rsidRDefault="00E56BB9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E56BB9">
        <w:rPr>
          <w:sz w:val="24"/>
          <w:szCs w:val="24"/>
        </w:rPr>
        <w:t>На замовлення гром</w:t>
      </w:r>
      <w:r>
        <w:rPr>
          <w:sz w:val="24"/>
          <w:szCs w:val="24"/>
        </w:rPr>
        <w:t>адянки Соловей Людмили Павлівни</w:t>
      </w:r>
      <w:r w:rsidRPr="00E56BB9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встановлення (відновлення) меж земельної д</w:t>
      </w:r>
      <w:r>
        <w:rPr>
          <w:sz w:val="24"/>
          <w:szCs w:val="24"/>
        </w:rPr>
        <w:t xml:space="preserve">ілянки в натурі (на місцевості) та </w:t>
      </w:r>
      <w:proofErr w:type="spellStart"/>
      <w:r>
        <w:rPr>
          <w:sz w:val="24"/>
          <w:szCs w:val="24"/>
        </w:rPr>
        <w:t>пр</w:t>
      </w:r>
      <w:r w:rsidR="007B4D05">
        <w:rPr>
          <w:sz w:val="24"/>
          <w:szCs w:val="24"/>
        </w:rPr>
        <w:t>о</w:t>
      </w:r>
      <w:r>
        <w:rPr>
          <w:sz w:val="24"/>
          <w:szCs w:val="24"/>
        </w:rPr>
        <w:t>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ділянки.</w:t>
      </w:r>
    </w:p>
    <w:p w14:paraId="47F9520E" w14:textId="02D22D40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5A7E23"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="00E56BB9">
        <w:rPr>
          <w:sz w:val="24"/>
          <w:szCs w:val="24"/>
        </w:rPr>
        <w:t xml:space="preserve"> рішення Київської міської ради «</w:t>
      </w:r>
      <w:r w:rsidR="00E56BB9" w:rsidRPr="00E56BB9">
        <w:rPr>
          <w:sz w:val="24"/>
          <w:szCs w:val="24"/>
        </w:rPr>
        <w:t>Про передачу громадянці Соловей Людмилі Павлівні у власність земельної ділянки для будівн</w:t>
      </w:r>
      <w:r w:rsidR="007B4D05">
        <w:rPr>
          <w:sz w:val="24"/>
          <w:szCs w:val="24"/>
        </w:rPr>
        <w:t>ицтва і обслуговування жилого</w:t>
      </w:r>
      <w:r w:rsidR="00E56BB9" w:rsidRPr="00E56BB9">
        <w:rPr>
          <w:sz w:val="24"/>
          <w:szCs w:val="24"/>
        </w:rPr>
        <w:t xml:space="preserve"> будинку, господарських будівель і споруд (присадибна ділянка) на вул. </w:t>
      </w:r>
      <w:proofErr w:type="spellStart"/>
      <w:r w:rsidR="00E56BB9" w:rsidRPr="00E56BB9">
        <w:rPr>
          <w:sz w:val="24"/>
          <w:szCs w:val="24"/>
        </w:rPr>
        <w:t>Маслівка</w:t>
      </w:r>
      <w:proofErr w:type="spellEnd"/>
      <w:r w:rsidR="00E56BB9" w:rsidRPr="00E56BB9">
        <w:rPr>
          <w:sz w:val="24"/>
          <w:szCs w:val="24"/>
        </w:rPr>
        <w:t>, 40 у Дарницькому районі міста Києва</w:t>
      </w:r>
      <w:r w:rsidR="00E56BB9">
        <w:rPr>
          <w:sz w:val="24"/>
          <w:szCs w:val="24"/>
        </w:rPr>
        <w:t>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24BA43C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</w:t>
      </w:r>
      <w:r w:rsidR="00E56BB9">
        <w:rPr>
          <w:sz w:val="24"/>
          <w:szCs w:val="24"/>
        </w:rPr>
        <w:t>ним кодексом України права громадянки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7F64C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7FB35C49" w:rsidR="00E12AC0" w:rsidRPr="00E56BB9" w:rsidRDefault="00E56BB9" w:rsidP="00384A6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90483">
              <w:rPr>
                <w:i/>
                <w:sz w:val="24"/>
                <w:szCs w:val="24"/>
              </w:rPr>
              <w:t>Земельна ділянка забудована житло</w:t>
            </w:r>
            <w:r w:rsidR="00491FBA">
              <w:rPr>
                <w:i/>
                <w:sz w:val="24"/>
                <w:szCs w:val="24"/>
              </w:rPr>
              <w:t>вим будинком садибного типу загальною площею 77,3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90483">
              <w:rPr>
                <w:i/>
                <w:sz w:val="24"/>
                <w:szCs w:val="24"/>
              </w:rPr>
              <w:t>кв.м</w:t>
            </w:r>
            <w:proofErr w:type="spellEnd"/>
            <w:r w:rsidRPr="00290483">
              <w:rPr>
                <w:i/>
                <w:sz w:val="24"/>
                <w:szCs w:val="24"/>
              </w:rPr>
              <w:t>, який належить на праві приватної власності громадя</w:t>
            </w:r>
            <w:r>
              <w:rPr>
                <w:i/>
                <w:sz w:val="24"/>
                <w:szCs w:val="24"/>
              </w:rPr>
              <w:t>нц</w:t>
            </w:r>
            <w:r w:rsidR="00491FBA">
              <w:rPr>
                <w:i/>
                <w:sz w:val="24"/>
                <w:szCs w:val="24"/>
              </w:rPr>
              <w:t xml:space="preserve">і </w:t>
            </w:r>
            <w:r w:rsidR="007B4D05">
              <w:rPr>
                <w:i/>
                <w:sz w:val="24"/>
                <w:szCs w:val="24"/>
              </w:rPr>
              <w:t>Соловей Людмилі Павлівні</w:t>
            </w:r>
            <w:r w:rsidRPr="00290483">
              <w:rPr>
                <w:i/>
                <w:sz w:val="24"/>
                <w:szCs w:val="24"/>
              </w:rPr>
              <w:t>, реєстраційний номер об'єкт</w:t>
            </w:r>
            <w:r w:rsidR="00491FBA">
              <w:rPr>
                <w:i/>
                <w:sz w:val="24"/>
                <w:szCs w:val="24"/>
              </w:rPr>
              <w:t>а нерухомого майна 1801558480000</w:t>
            </w:r>
            <w:r w:rsidRPr="00290483">
              <w:rPr>
                <w:i/>
                <w:sz w:val="24"/>
                <w:szCs w:val="24"/>
              </w:rPr>
              <w:t>, з</w:t>
            </w:r>
            <w:r w:rsidR="00491FBA">
              <w:rPr>
                <w:i/>
                <w:sz w:val="24"/>
                <w:szCs w:val="24"/>
              </w:rPr>
              <w:t>апис про право власності від 29.03.2019 № 30997039</w:t>
            </w:r>
            <w:r w:rsidRPr="00290483">
              <w:rPr>
                <w:i/>
                <w:sz w:val="24"/>
                <w:szCs w:val="24"/>
              </w:rPr>
              <w:t xml:space="preserve"> </w:t>
            </w:r>
            <w:r w:rsidRPr="00FD76FC">
              <w:rPr>
                <w:i/>
                <w:color w:val="000000" w:themeColor="text1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6F3A07" w:rsidRPr="006F3A07">
              <w:rPr>
                <w:i/>
                <w:color w:val="auto"/>
                <w:sz w:val="24"/>
                <w:szCs w:val="24"/>
              </w:rPr>
              <w:t>19.02</w:t>
            </w:r>
            <w:r w:rsidR="00832007">
              <w:rPr>
                <w:i/>
                <w:color w:val="auto"/>
                <w:sz w:val="24"/>
                <w:szCs w:val="24"/>
              </w:rPr>
              <w:t>.2025</w:t>
            </w:r>
            <w:r w:rsidR="00384A6E">
              <w:rPr>
                <w:i/>
                <w:color w:val="auto"/>
                <w:sz w:val="24"/>
                <w:szCs w:val="24"/>
              </w:rPr>
              <w:t xml:space="preserve">    </w:t>
            </w:r>
            <w:r w:rsidR="006F3A07" w:rsidRPr="006F3A07">
              <w:rPr>
                <w:i/>
                <w:color w:val="auto"/>
                <w:sz w:val="24"/>
                <w:szCs w:val="24"/>
              </w:rPr>
              <w:t xml:space="preserve"> 414013503</w:t>
            </w:r>
            <w:r w:rsidRPr="006F3A07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F64CE">
        <w:trPr>
          <w:cantSplit/>
          <w:trHeight w:val="416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7F64C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7F64CE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7A1F613D" w:rsidR="00E12AC0" w:rsidRPr="00E12AC0" w:rsidRDefault="00491FBA" w:rsidP="007F64C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9048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від 28.03.2002 № 370/1804, земельна ділянка за функціональним призначенням належить до території садибної житлової з</w:t>
            </w:r>
            <w:r w:rsidR="00276649">
              <w:rPr>
                <w:i/>
                <w:sz w:val="24"/>
                <w:szCs w:val="24"/>
              </w:rPr>
              <w:t>абудови (перспективні</w:t>
            </w:r>
            <w:r w:rsidRPr="00290483">
              <w:rPr>
                <w:i/>
                <w:sz w:val="24"/>
                <w:szCs w:val="24"/>
              </w:rPr>
              <w:t>) (витяг з містобудівної документації, наданий листом Департаменту містобудування та архітектури виконавчого органу Київської міської ради (Київської міської</w:t>
            </w:r>
            <w:r w:rsidR="00815FDC">
              <w:rPr>
                <w:i/>
                <w:sz w:val="24"/>
                <w:szCs w:val="24"/>
              </w:rPr>
              <w:t xml:space="preserve"> державної адміністрації) від 01.05</w:t>
            </w:r>
            <w:r w:rsidRPr="00290483">
              <w:rPr>
                <w:i/>
                <w:sz w:val="24"/>
                <w:szCs w:val="24"/>
              </w:rPr>
              <w:t>.2</w:t>
            </w:r>
            <w:r w:rsidR="00815FDC">
              <w:rPr>
                <w:i/>
                <w:sz w:val="24"/>
                <w:szCs w:val="24"/>
              </w:rPr>
              <w:t xml:space="preserve">024  </w:t>
            </w:r>
            <w:r w:rsidR="00276649">
              <w:rPr>
                <w:i/>
                <w:sz w:val="24"/>
                <w:szCs w:val="24"/>
              </w:rPr>
              <w:t xml:space="preserve">                          </w:t>
            </w:r>
            <w:r w:rsidR="00815FDC">
              <w:rPr>
                <w:i/>
                <w:sz w:val="24"/>
                <w:szCs w:val="24"/>
              </w:rPr>
              <w:t>№ 055-4319</w:t>
            </w:r>
            <w:r w:rsidRPr="00290483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7F64C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7F64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F64C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7F64C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F64CE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79449CB4" w14:textId="38E1BD7D" w:rsidR="00815FDC" w:rsidRPr="00815FDC" w:rsidRDefault="00815FDC" w:rsidP="007F64C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0,0748</w:t>
            </w: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стровий номер  8000000000:90:681:0280) на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Маслівка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40</w:t>
            </w: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Дарницькому районі м. Києва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затвердження технічної документації та передачу            будь - яким фізичним чи юридичним особам у власність чи користування земельної ділянки Київською міською радою не приймалося.</w:t>
            </w:r>
          </w:p>
          <w:p w14:paraId="583CAF8F" w14:textId="77777777" w:rsidR="00815FDC" w:rsidRPr="00815FDC" w:rsidRDefault="00815FDC" w:rsidP="007F64C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B27D8B1" w14:textId="77777777" w:rsidR="00815FDC" w:rsidRPr="00815FDC" w:rsidRDefault="00815FDC" w:rsidP="007F64C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32B0CCAD" w14:textId="77777777" w:rsidR="00815FDC" w:rsidRPr="00815FDC" w:rsidRDefault="00815FDC" w:rsidP="007F64C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15F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4B5AE65F" w:rsidR="00812178" w:rsidRPr="003774B2" w:rsidRDefault="00812178" w:rsidP="007F64C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7620CB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815FDC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5A7E23">
        <w:rPr>
          <w:sz w:val="24"/>
          <w:szCs w:val="24"/>
        </w:rPr>
        <w:t xml:space="preserve">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388949D" w14:textId="77777777" w:rsidR="00815FDC" w:rsidRPr="00815FDC" w:rsidRDefault="00815FDC" w:rsidP="00815FDC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815FDC">
        <w:rPr>
          <w:sz w:val="24"/>
          <w:szCs w:val="24"/>
        </w:rPr>
        <w:t>Проєкт</w:t>
      </w:r>
      <w:proofErr w:type="spellEnd"/>
      <w:r w:rsidRPr="00815FDC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9B9FC8F" w14:textId="77777777" w:rsidR="00815FDC" w:rsidRPr="00815FDC" w:rsidRDefault="00815FDC" w:rsidP="00815FDC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815FDC">
        <w:rPr>
          <w:sz w:val="24"/>
          <w:szCs w:val="24"/>
        </w:rPr>
        <w:t>Проєкт</w:t>
      </w:r>
      <w:proofErr w:type="spellEnd"/>
      <w:r w:rsidRPr="00815FDC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F1AFC9F" w14:textId="77777777" w:rsidR="00815FDC" w:rsidRPr="00815FDC" w:rsidRDefault="00815FDC" w:rsidP="00815FDC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815FDC">
        <w:rPr>
          <w:sz w:val="24"/>
          <w:szCs w:val="24"/>
        </w:rPr>
        <w:t>Проєкт</w:t>
      </w:r>
      <w:proofErr w:type="spellEnd"/>
      <w:r w:rsidRPr="00815FDC">
        <w:rPr>
          <w:sz w:val="24"/>
          <w:szCs w:val="24"/>
        </w:rPr>
        <w:t xml:space="preserve"> рішення містить інформацію про фізичну особу (персональні дані) у розумінні </w:t>
      </w:r>
      <w:r w:rsidRPr="00815FDC">
        <w:rPr>
          <w:sz w:val="24"/>
          <w:szCs w:val="24"/>
        </w:rPr>
        <w:lastRenderedPageBreak/>
        <w:t>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E9AAC64" w14:textId="77777777" w:rsidR="00815FDC" w:rsidRDefault="00815FDC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 w:rsidRPr="00815FDC">
        <w:rPr>
          <w:sz w:val="24"/>
          <w:szCs w:val="24"/>
        </w:rPr>
        <w:t xml:space="preserve">Наслідками прийняття розробленого </w:t>
      </w:r>
      <w:proofErr w:type="spellStart"/>
      <w:r w:rsidRPr="00815FDC">
        <w:rPr>
          <w:sz w:val="24"/>
          <w:szCs w:val="24"/>
        </w:rPr>
        <w:t>проєкту</w:t>
      </w:r>
      <w:proofErr w:type="spellEnd"/>
      <w:r w:rsidRPr="00815FDC"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    </w:t>
      </w:r>
    </w:p>
    <w:p w14:paraId="52896731" w14:textId="025E16BB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56BB9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81EB5AE" w:rsidR="00862990" w:rsidRPr="007B7541" w:rsidRDefault="00745F89" w:rsidP="00815FD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56BB9">
      <w:rPr>
        <w:sz w:val="12"/>
        <w:szCs w:val="12"/>
        <w:lang w:val="ru-RU"/>
      </w:rPr>
      <w:t>ПЗН-72908</w:t>
    </w:r>
    <w:r w:rsidR="00862990">
      <w:rPr>
        <w:sz w:val="12"/>
        <w:szCs w:val="12"/>
      </w:rPr>
      <w:t xml:space="preserve"> від </w:t>
    </w:r>
    <w:r w:rsidR="00B2667F" w:rsidRPr="00E56BB9">
      <w:rPr>
        <w:sz w:val="12"/>
        <w:szCs w:val="12"/>
        <w:lang w:val="ru-RU"/>
      </w:rPr>
      <w:t>18.02.2025</w:t>
    </w:r>
    <w:r w:rsidR="00815FDC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524327521</w:t>
    </w:r>
    <w:r w:rsidR="00815FDC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CE2C4E" w:rsidRPr="00CE2C4E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A3F9F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76649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84A6E"/>
    <w:rsid w:val="003C17B4"/>
    <w:rsid w:val="003F08A4"/>
    <w:rsid w:val="003F796B"/>
    <w:rsid w:val="004223BA"/>
    <w:rsid w:val="00446BFC"/>
    <w:rsid w:val="004571B2"/>
    <w:rsid w:val="00466C3C"/>
    <w:rsid w:val="00485E81"/>
    <w:rsid w:val="00491FBA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A7E23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3A07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4D05"/>
    <w:rsid w:val="007B7541"/>
    <w:rsid w:val="007C2840"/>
    <w:rsid w:val="007C52B7"/>
    <w:rsid w:val="007D3720"/>
    <w:rsid w:val="007E2544"/>
    <w:rsid w:val="007F64CE"/>
    <w:rsid w:val="0081082C"/>
    <w:rsid w:val="00812178"/>
    <w:rsid w:val="0081493A"/>
    <w:rsid w:val="00815FDC"/>
    <w:rsid w:val="00830DB0"/>
    <w:rsid w:val="00832007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A1817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CE2C4E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56BB9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5935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12</cp:revision>
  <cp:lastPrinted>2025-02-19T08:59:00Z</cp:lastPrinted>
  <dcterms:created xsi:type="dcterms:W3CDTF">2025-02-18T08:58:00Z</dcterms:created>
  <dcterms:modified xsi:type="dcterms:W3CDTF">2025-02-24T14:47:00Z</dcterms:modified>
</cp:coreProperties>
</file>