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516327535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516327535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2C060D6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6F5034">
        <w:rPr>
          <w:b/>
          <w:bCs/>
          <w:sz w:val="24"/>
          <w:szCs w:val="24"/>
          <w:lang w:val="ru-RU"/>
        </w:rPr>
        <w:t>ПЗН-62171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6F5034">
        <w:rPr>
          <w:b/>
          <w:bCs/>
          <w:sz w:val="24"/>
          <w:szCs w:val="24"/>
          <w:lang w:val="ru-RU"/>
        </w:rPr>
        <w:t>07.02.2024</w:t>
      </w:r>
    </w:p>
    <w:p w14:paraId="69271402" w14:textId="13473D8D" w:rsidR="004F0681" w:rsidRPr="003B527A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</w:t>
      </w:r>
      <w:r w:rsidRPr="003B527A">
        <w:rPr>
          <w:sz w:val="24"/>
          <w:szCs w:val="24"/>
        </w:rPr>
        <w:t>рішення Київської міської ради:</w:t>
      </w:r>
      <w:r w:rsidR="003568E0" w:rsidRPr="003B527A">
        <w:rPr>
          <w:noProof/>
          <w:sz w:val="24"/>
          <w:szCs w:val="24"/>
        </w:rPr>
        <w:t xml:space="preserve"> </w:t>
      </w:r>
    </w:p>
    <w:p w14:paraId="1B378F48" w14:textId="6D3F81E3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B527A">
        <w:rPr>
          <w:b/>
          <w:i/>
          <w:iCs/>
          <w:sz w:val="24"/>
          <w:szCs w:val="24"/>
        </w:rPr>
        <w:t xml:space="preserve">Про </w:t>
      </w:r>
      <w:r w:rsidR="009B470E" w:rsidRPr="003B527A">
        <w:rPr>
          <w:b/>
          <w:i/>
          <w:iCs/>
          <w:sz w:val="24"/>
          <w:szCs w:val="24"/>
        </w:rPr>
        <w:t>передачу</w:t>
      </w:r>
      <w:r w:rsidR="00CC567E" w:rsidRPr="003B527A">
        <w:rPr>
          <w:b/>
          <w:i/>
          <w:iCs/>
          <w:sz w:val="24"/>
          <w:szCs w:val="24"/>
        </w:rPr>
        <w:t xml:space="preserve"> </w:t>
      </w:r>
      <w:r w:rsidR="00BA3AB4" w:rsidRPr="003B527A">
        <w:rPr>
          <w:b/>
          <w:i/>
          <w:iCs/>
          <w:sz w:val="24"/>
          <w:szCs w:val="24"/>
        </w:rPr>
        <w:t>громадянину</w:t>
      </w:r>
      <w:r w:rsidR="00CC567E" w:rsidRPr="003B527A">
        <w:rPr>
          <w:b/>
          <w:i/>
          <w:iCs/>
          <w:sz w:val="24"/>
          <w:szCs w:val="24"/>
        </w:rPr>
        <w:t xml:space="preserve"> </w:t>
      </w:r>
      <w:proofErr w:type="spellStart"/>
      <w:r w:rsidR="00765699" w:rsidRPr="003B527A">
        <w:rPr>
          <w:b/>
          <w:i/>
          <w:iCs/>
          <w:sz w:val="24"/>
          <w:szCs w:val="24"/>
        </w:rPr>
        <w:t>Кривошею</w:t>
      </w:r>
      <w:proofErr w:type="spellEnd"/>
      <w:r w:rsidR="00765699" w:rsidRPr="003B527A">
        <w:rPr>
          <w:b/>
          <w:i/>
          <w:iCs/>
          <w:sz w:val="24"/>
          <w:szCs w:val="24"/>
        </w:rPr>
        <w:t xml:space="preserve"> Олександру Григоровичу</w:t>
      </w:r>
      <w:r w:rsidR="009B470E" w:rsidRPr="003B527A">
        <w:rPr>
          <w:b/>
          <w:i/>
          <w:iCs/>
          <w:sz w:val="24"/>
          <w:szCs w:val="24"/>
        </w:rPr>
        <w:t xml:space="preserve"> у</w:t>
      </w:r>
      <w:r w:rsidR="00F1493B" w:rsidRPr="003B527A">
        <w:rPr>
          <w:b/>
          <w:i/>
          <w:iCs/>
          <w:sz w:val="24"/>
          <w:szCs w:val="24"/>
        </w:rPr>
        <w:t xml:space="preserve"> приватну</w:t>
      </w:r>
      <w:r w:rsidR="009B470E" w:rsidRPr="003B527A">
        <w:rPr>
          <w:b/>
          <w:i/>
          <w:iCs/>
          <w:sz w:val="24"/>
          <w:szCs w:val="24"/>
        </w:rPr>
        <w:t xml:space="preserve"> власність земельної ділянки </w:t>
      </w:r>
      <w:r w:rsidR="00E06799" w:rsidRPr="003B527A">
        <w:rPr>
          <w:rStyle w:val="af"/>
          <w:b/>
          <w:sz w:val="24"/>
          <w:szCs w:val="24"/>
        </w:rPr>
        <w:t>для будівництва</w:t>
      </w:r>
      <w:r w:rsidR="00E06799" w:rsidRPr="00E06799">
        <w:rPr>
          <w:rStyle w:val="af"/>
          <w:b/>
          <w:sz w:val="24"/>
          <w:szCs w:val="24"/>
        </w:rPr>
        <w:t xml:space="preserve"> і обслуговування житлового будинку, господарських будівель і споруд (присадибна ділянка)</w:t>
      </w:r>
      <w:r w:rsidR="00E06799" w:rsidRPr="00E06799">
        <w:rPr>
          <w:rStyle w:val="af"/>
          <w:b/>
        </w:rPr>
        <w:t xml:space="preserve"> </w:t>
      </w:r>
      <w:r w:rsidRPr="003774B2">
        <w:rPr>
          <w:b/>
          <w:i/>
          <w:iCs/>
          <w:sz w:val="24"/>
          <w:szCs w:val="24"/>
        </w:rPr>
        <w:t xml:space="preserve">на </w:t>
      </w:r>
      <w:r w:rsidR="00765699" w:rsidRPr="003774B2">
        <w:rPr>
          <w:b/>
          <w:i/>
          <w:iCs/>
          <w:sz w:val="24"/>
          <w:szCs w:val="24"/>
        </w:rPr>
        <w:t xml:space="preserve">вул. </w:t>
      </w:r>
      <w:proofErr w:type="spellStart"/>
      <w:r w:rsidR="00765699" w:rsidRPr="003774B2">
        <w:rPr>
          <w:b/>
          <w:i/>
          <w:iCs/>
          <w:sz w:val="24"/>
          <w:szCs w:val="24"/>
        </w:rPr>
        <w:t>Самчука</w:t>
      </w:r>
      <w:proofErr w:type="spellEnd"/>
      <w:r w:rsidR="00765699" w:rsidRPr="003774B2">
        <w:rPr>
          <w:b/>
          <w:i/>
          <w:iCs/>
          <w:sz w:val="24"/>
          <w:szCs w:val="24"/>
        </w:rPr>
        <w:t xml:space="preserve"> Уласа, 35 </w:t>
      </w:r>
      <w:r w:rsidR="00E17376" w:rsidRPr="003774B2">
        <w:rPr>
          <w:b/>
          <w:i/>
          <w:iCs/>
          <w:sz w:val="24"/>
          <w:szCs w:val="24"/>
        </w:rPr>
        <w:t xml:space="preserve"> у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Голосіївському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>Кривошей Олександр Григорович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29.01.2024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516327535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8000000000:82:445:0031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1"/>
        <w:gridCol w:w="6210"/>
      </w:tblGrid>
      <w:tr w:rsidR="00E659C4" w14:paraId="4ACF000F" w14:textId="77777777" w:rsidTr="006724F5">
        <w:tc>
          <w:tcPr>
            <w:tcW w:w="3311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210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</w:t>
            </w:r>
            <w:proofErr w:type="spellStart"/>
            <w:r w:rsidRPr="00EA27C8">
              <w:rPr>
                <w:b w:val="0"/>
                <w:i/>
                <w:sz w:val="24"/>
                <w:szCs w:val="24"/>
              </w:rPr>
              <w:t>Самчука</w:t>
            </w:r>
            <w:proofErr w:type="spellEnd"/>
            <w:r w:rsidRPr="00EA27C8">
              <w:rPr>
                <w:b w:val="0"/>
                <w:i/>
                <w:sz w:val="24"/>
                <w:szCs w:val="24"/>
              </w:rPr>
              <w:t xml:space="preserve"> Уласа, 35  у Голосіївському районі міста Києва </w:t>
            </w:r>
          </w:p>
        </w:tc>
      </w:tr>
      <w:tr w:rsidR="00E659C4" w14:paraId="7FA17F85" w14:textId="77777777" w:rsidTr="006724F5">
        <w:tc>
          <w:tcPr>
            <w:tcW w:w="3311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210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0,0619 га</w:t>
            </w:r>
          </w:p>
        </w:tc>
      </w:tr>
      <w:tr w:rsidR="006724F5" w14:paraId="34526A38" w14:textId="77777777" w:rsidTr="006724F5">
        <w:tc>
          <w:tcPr>
            <w:tcW w:w="3311" w:type="dxa"/>
          </w:tcPr>
          <w:p w14:paraId="71A6030E" w14:textId="75CD3A39" w:rsidR="006724F5" w:rsidRDefault="006724F5" w:rsidP="006724F5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Вид та термін користування:</w:t>
            </w:r>
          </w:p>
        </w:tc>
        <w:tc>
          <w:tcPr>
            <w:tcW w:w="6210" w:type="dxa"/>
          </w:tcPr>
          <w:p w14:paraId="08D0261A" w14:textId="6DE357D6" w:rsidR="006724F5" w:rsidRPr="00EA27C8" w:rsidRDefault="006724F5" w:rsidP="006724F5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6724F5" w14:paraId="31D36722" w14:textId="77777777" w:rsidTr="006724F5">
        <w:tc>
          <w:tcPr>
            <w:tcW w:w="3311" w:type="dxa"/>
          </w:tcPr>
          <w:p w14:paraId="58C1B7B7" w14:textId="2F7AD826" w:rsidR="006724F5" w:rsidRDefault="006724F5" w:rsidP="006724F5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Цільове призначення</w:t>
            </w:r>
          </w:p>
        </w:tc>
        <w:tc>
          <w:tcPr>
            <w:tcW w:w="6210" w:type="dxa"/>
          </w:tcPr>
          <w:p w14:paraId="1AB1CB5D" w14:textId="16C2E719" w:rsidR="006724F5" w:rsidRPr="00EA27C8" w:rsidRDefault="006724F5" w:rsidP="006724F5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жилого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08358854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>
        <w:rPr>
          <w:sz w:val="24"/>
          <w:szCs w:val="24"/>
        </w:rPr>
        <w:t xml:space="preserve">     </w:t>
      </w:r>
      <w:r w:rsidR="006724F5">
        <w:rPr>
          <w:sz w:val="24"/>
          <w:szCs w:val="24"/>
        </w:rPr>
        <w:t xml:space="preserve">               </w:t>
      </w:r>
      <w:r w:rsidR="00EA27C8">
        <w:rPr>
          <w:sz w:val="24"/>
          <w:szCs w:val="24"/>
        </w:rPr>
        <w:t xml:space="preserve">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6724F5" w:rsidRPr="003774B2" w14:paraId="4A887E4C" w14:textId="77777777" w:rsidTr="00107C84">
        <w:trPr>
          <w:cantSplit/>
          <w:trHeight w:val="822"/>
        </w:trPr>
        <w:tc>
          <w:tcPr>
            <w:tcW w:w="3462" w:type="dxa"/>
          </w:tcPr>
          <w:p w14:paraId="5C83180A" w14:textId="5D4D8A2B" w:rsidR="006724F5" w:rsidRPr="00EA27C8" w:rsidRDefault="006724F5" w:rsidP="006724F5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6724F5" w:rsidRPr="00EA27C8" w:rsidRDefault="006724F5" w:rsidP="006724F5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687E2619" w14:textId="02782AB3" w:rsidR="006724F5" w:rsidRPr="00096F55" w:rsidRDefault="006724F5" w:rsidP="00107C84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 xml:space="preserve">На земельній ділянці розташований житловий будинок загальною площею 56,6 </w:t>
            </w:r>
            <w:proofErr w:type="spellStart"/>
            <w:r>
              <w:rPr>
                <w:i/>
                <w:sz w:val="24"/>
                <w:szCs w:val="24"/>
              </w:rPr>
              <w:t>кв</w:t>
            </w:r>
            <w:proofErr w:type="spellEnd"/>
            <w:r>
              <w:rPr>
                <w:i/>
                <w:sz w:val="24"/>
                <w:szCs w:val="24"/>
              </w:rPr>
              <w:t xml:space="preserve">. м, який належить                                     гр. </w:t>
            </w:r>
            <w:proofErr w:type="spellStart"/>
            <w:r>
              <w:rPr>
                <w:i/>
                <w:sz w:val="24"/>
                <w:szCs w:val="24"/>
              </w:rPr>
              <w:t>Кривошею</w:t>
            </w:r>
            <w:proofErr w:type="spellEnd"/>
            <w:r>
              <w:rPr>
                <w:i/>
                <w:sz w:val="24"/>
                <w:szCs w:val="24"/>
              </w:rPr>
              <w:t xml:space="preserve"> О.Г., право власності зареєстровано у Державному реєстрі речових прав на нерухоме майно 18.11.2023, номер відомостей про речове право </w:t>
            </w:r>
            <w:r w:rsidR="00107C84">
              <w:rPr>
                <w:i/>
                <w:sz w:val="24"/>
                <w:szCs w:val="24"/>
              </w:rPr>
              <w:t>52616319</w:t>
            </w:r>
            <w:r>
              <w:rPr>
                <w:i/>
                <w:sz w:val="24"/>
                <w:szCs w:val="24"/>
              </w:rPr>
              <w:t xml:space="preserve"> (інформація з Державного реєстру</w:t>
            </w:r>
            <w:r w:rsidR="00107C84">
              <w:rPr>
                <w:i/>
                <w:sz w:val="24"/>
                <w:szCs w:val="24"/>
              </w:rPr>
              <w:t xml:space="preserve"> речових прав на нерухоме майно </w:t>
            </w:r>
            <w:r>
              <w:rPr>
                <w:i/>
                <w:sz w:val="24"/>
                <w:szCs w:val="24"/>
              </w:rPr>
              <w:t xml:space="preserve">від </w:t>
            </w:r>
            <w:r w:rsidR="00107C84">
              <w:rPr>
                <w:i/>
                <w:sz w:val="24"/>
                <w:szCs w:val="24"/>
              </w:rPr>
              <w:t>06</w:t>
            </w:r>
            <w:r>
              <w:rPr>
                <w:i/>
                <w:sz w:val="24"/>
                <w:szCs w:val="24"/>
              </w:rPr>
              <w:t xml:space="preserve">.02.2024 № </w:t>
            </w:r>
            <w:r w:rsidR="00107C84">
              <w:rPr>
                <w:i/>
                <w:sz w:val="24"/>
                <w:szCs w:val="24"/>
              </w:rPr>
              <w:t>364717695</w:t>
            </w:r>
            <w:r>
              <w:rPr>
                <w:i/>
                <w:sz w:val="24"/>
                <w:szCs w:val="24"/>
              </w:rPr>
              <w:t>).</w:t>
            </w:r>
          </w:p>
        </w:tc>
      </w:tr>
      <w:tr w:rsidR="006724F5" w:rsidRPr="003774B2" w14:paraId="44C55D8C" w14:textId="77777777" w:rsidTr="00107C84">
        <w:trPr>
          <w:cantSplit/>
          <w:trHeight w:val="1472"/>
        </w:trPr>
        <w:tc>
          <w:tcPr>
            <w:tcW w:w="3462" w:type="dxa"/>
          </w:tcPr>
          <w:p w14:paraId="7162150E" w14:textId="359B3034" w:rsidR="006724F5" w:rsidRPr="006724F5" w:rsidRDefault="006724F5" w:rsidP="006724F5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518FEEB7" w:rsidR="006724F5" w:rsidRPr="00E12AC0" w:rsidRDefault="006724F5" w:rsidP="00107C84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Відповідно до дет</w:t>
            </w:r>
            <w:r w:rsidRPr="00E12AC0">
              <w:rPr>
                <w:i/>
                <w:sz w:val="24"/>
                <w:szCs w:val="24"/>
              </w:rPr>
              <w:t>альн</w:t>
            </w:r>
            <w:r>
              <w:rPr>
                <w:i/>
                <w:sz w:val="24"/>
                <w:szCs w:val="24"/>
              </w:rPr>
              <w:t>ого</w:t>
            </w:r>
            <w:r w:rsidRPr="00E12AC0">
              <w:rPr>
                <w:i/>
                <w:sz w:val="24"/>
                <w:szCs w:val="24"/>
              </w:rPr>
              <w:t xml:space="preserve"> </w:t>
            </w:r>
            <w:r w:rsidRPr="00EA27C8">
              <w:rPr>
                <w:i/>
                <w:sz w:val="24"/>
                <w:szCs w:val="24"/>
              </w:rPr>
              <w:t xml:space="preserve">плану території </w:t>
            </w:r>
            <w:r w:rsidR="00107C84">
              <w:rPr>
                <w:i/>
                <w:sz w:val="24"/>
                <w:szCs w:val="24"/>
              </w:rPr>
              <w:t xml:space="preserve">в межах вулиць </w:t>
            </w:r>
            <w:proofErr w:type="spellStart"/>
            <w:r w:rsidR="00107C84">
              <w:rPr>
                <w:i/>
                <w:sz w:val="24"/>
                <w:szCs w:val="24"/>
              </w:rPr>
              <w:t>Саперно</w:t>
            </w:r>
            <w:proofErr w:type="spellEnd"/>
            <w:r w:rsidR="00107C84">
              <w:rPr>
                <w:i/>
                <w:sz w:val="24"/>
                <w:szCs w:val="24"/>
              </w:rPr>
              <w:t>-Слобідської та проспекту Науки</w:t>
            </w:r>
            <w:r>
              <w:rPr>
                <w:i/>
                <w:sz w:val="24"/>
                <w:szCs w:val="24"/>
              </w:rPr>
              <w:t>, затвердженого</w:t>
            </w:r>
            <w:r w:rsidRPr="00E12AC0">
              <w:rPr>
                <w:i/>
                <w:sz w:val="24"/>
                <w:szCs w:val="24"/>
              </w:rPr>
              <w:t xml:space="preserve"> рішенням Київської міської </w:t>
            </w:r>
            <w:r w:rsidRPr="00107C84">
              <w:rPr>
                <w:i/>
                <w:sz w:val="24"/>
                <w:szCs w:val="24"/>
              </w:rPr>
              <w:t xml:space="preserve">ради від </w:t>
            </w:r>
            <w:r w:rsidR="00107C84" w:rsidRPr="00107C84">
              <w:rPr>
                <w:i/>
                <w:sz w:val="24"/>
                <w:szCs w:val="24"/>
              </w:rPr>
              <w:t>06.04.2017</w:t>
            </w:r>
            <w:r w:rsidRPr="00107C84">
              <w:rPr>
                <w:i/>
                <w:sz w:val="24"/>
                <w:szCs w:val="24"/>
              </w:rPr>
              <w:t xml:space="preserve"> № </w:t>
            </w:r>
            <w:r w:rsidR="00107C84" w:rsidRPr="00107C84">
              <w:rPr>
                <w:i/>
                <w:sz w:val="24"/>
                <w:szCs w:val="24"/>
              </w:rPr>
              <w:t>141/2363</w:t>
            </w:r>
            <w:r w:rsidRPr="00107C84">
              <w:rPr>
                <w:i/>
                <w:sz w:val="24"/>
                <w:szCs w:val="24"/>
              </w:rPr>
              <w:t>,  земельна ділянка за функціональним</w:t>
            </w:r>
            <w:r>
              <w:rPr>
                <w:i/>
                <w:sz w:val="24"/>
                <w:szCs w:val="24"/>
              </w:rPr>
              <w:t xml:space="preserve"> призначенням належить </w:t>
            </w:r>
            <w:r w:rsidRPr="00092818">
              <w:rPr>
                <w:i/>
                <w:sz w:val="24"/>
                <w:szCs w:val="24"/>
              </w:rPr>
              <w:t>до території житлової садибної забудови</w:t>
            </w:r>
            <w:r w:rsidR="00107C84">
              <w:rPr>
                <w:i/>
                <w:sz w:val="24"/>
                <w:szCs w:val="24"/>
              </w:rPr>
              <w:t xml:space="preserve"> (лист Департаменту містобудування та архітектури </w:t>
            </w:r>
            <w:r w:rsidR="00107C84" w:rsidRPr="000900FE">
              <w:rPr>
                <w:i/>
                <w:sz w:val="24"/>
                <w:szCs w:val="24"/>
              </w:rPr>
              <w:t>виконавчого органу Київської міської ради (Київської міської державної адміністрації</w:t>
            </w:r>
            <w:r w:rsidR="00107C84">
              <w:rPr>
                <w:i/>
                <w:sz w:val="24"/>
                <w:szCs w:val="24"/>
              </w:rPr>
              <w:t>) від 04.12.2023 № 055-10093</w:t>
            </w:r>
            <w:r w:rsidR="00107C84" w:rsidRPr="000900FE">
              <w:rPr>
                <w:i/>
                <w:sz w:val="24"/>
                <w:szCs w:val="24"/>
              </w:rPr>
              <w:t>)</w:t>
            </w:r>
            <w:r w:rsidR="00107C84">
              <w:rPr>
                <w:i/>
                <w:sz w:val="24"/>
                <w:szCs w:val="24"/>
              </w:rPr>
              <w:t>.</w:t>
            </w:r>
          </w:p>
        </w:tc>
      </w:tr>
      <w:tr w:rsidR="006724F5" w:rsidRPr="003774B2" w14:paraId="53F755AF" w14:textId="77777777" w:rsidTr="00107C84">
        <w:trPr>
          <w:cantSplit/>
          <w:trHeight w:val="1091"/>
        </w:trPr>
        <w:tc>
          <w:tcPr>
            <w:tcW w:w="3462" w:type="dxa"/>
          </w:tcPr>
          <w:p w14:paraId="05EA1F59" w14:textId="77777777" w:rsidR="006724F5" w:rsidRDefault="006724F5" w:rsidP="006724F5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6724F5" w:rsidRPr="00EA27C8" w:rsidRDefault="006724F5" w:rsidP="006724F5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06" w:type="dxa"/>
          </w:tcPr>
          <w:p w14:paraId="14888231" w14:textId="20FD80D2" w:rsidR="006724F5" w:rsidRPr="00E12AC0" w:rsidRDefault="006724F5" w:rsidP="006724F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F02B99">
              <w:rPr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Києва</w:t>
            </w:r>
            <w:r w:rsidRPr="00F02B99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>
              <w:rPr>
                <w:i/>
                <w:sz w:val="24"/>
                <w:szCs w:val="24"/>
              </w:rPr>
              <w:t xml:space="preserve">   </w:t>
            </w:r>
            <w:r w:rsidR="00107C84">
              <w:rPr>
                <w:i/>
                <w:sz w:val="24"/>
                <w:szCs w:val="24"/>
              </w:rPr>
              <w:t xml:space="preserve">                  </w:t>
            </w:r>
            <w:r>
              <w:rPr>
                <w:i/>
                <w:sz w:val="24"/>
                <w:szCs w:val="24"/>
              </w:rPr>
              <w:t xml:space="preserve">            </w:t>
            </w:r>
            <w:r w:rsidRPr="00F02B99">
              <w:rPr>
                <w:i/>
                <w:sz w:val="24"/>
                <w:szCs w:val="24"/>
              </w:rPr>
              <w:t xml:space="preserve"> від 28</w:t>
            </w:r>
            <w:r>
              <w:rPr>
                <w:i/>
                <w:sz w:val="24"/>
                <w:szCs w:val="24"/>
              </w:rPr>
              <w:t>.03.</w:t>
            </w:r>
            <w:r w:rsidRPr="00F02B99">
              <w:rPr>
                <w:i/>
                <w:sz w:val="24"/>
                <w:szCs w:val="24"/>
              </w:rPr>
              <w:t xml:space="preserve">2002 № 370/1804, </w:t>
            </w:r>
            <w:r w:rsidRPr="00107C84">
              <w:rPr>
                <w:i/>
                <w:sz w:val="24"/>
                <w:szCs w:val="24"/>
              </w:rPr>
              <w:t>земельна ділянка за функціональним призначенням належить до території житлової садибної забудови.</w:t>
            </w:r>
          </w:p>
        </w:tc>
      </w:tr>
      <w:tr w:rsidR="006724F5" w:rsidRPr="003774B2" w14:paraId="67EEAA64" w14:textId="77777777" w:rsidTr="00107C84">
        <w:trPr>
          <w:cantSplit/>
          <w:trHeight w:val="553"/>
        </w:trPr>
        <w:tc>
          <w:tcPr>
            <w:tcW w:w="3462" w:type="dxa"/>
          </w:tcPr>
          <w:p w14:paraId="529F0A24" w14:textId="1612CD7F" w:rsidR="006724F5" w:rsidRPr="00EA27C8" w:rsidRDefault="006724F5" w:rsidP="006724F5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6724F5" w:rsidRPr="003774B2" w:rsidRDefault="006724F5" w:rsidP="006724F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6724F5" w:rsidRPr="003774B2" w14:paraId="23E5DE02" w14:textId="77777777" w:rsidTr="00107C84">
        <w:trPr>
          <w:cantSplit/>
          <w:trHeight w:val="269"/>
        </w:trPr>
        <w:tc>
          <w:tcPr>
            <w:tcW w:w="3462" w:type="dxa"/>
          </w:tcPr>
          <w:p w14:paraId="4A0BAC79" w14:textId="7C212191" w:rsidR="006724F5" w:rsidRPr="00EA27C8" w:rsidRDefault="006724F5" w:rsidP="006724F5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6724F5" w:rsidRPr="00BE76CE" w:rsidRDefault="006724F5" w:rsidP="006724F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>Земельна ділянка не входить до зеленої зони.</w:t>
            </w:r>
          </w:p>
        </w:tc>
      </w:tr>
      <w:tr w:rsidR="006724F5" w:rsidRPr="003774B2" w14:paraId="6A523C75" w14:textId="77777777" w:rsidTr="00107C84">
        <w:trPr>
          <w:cantSplit/>
          <w:trHeight w:val="254"/>
        </w:trPr>
        <w:tc>
          <w:tcPr>
            <w:tcW w:w="3462" w:type="dxa"/>
          </w:tcPr>
          <w:p w14:paraId="4482B364" w14:textId="2091F961" w:rsidR="006724F5" w:rsidRPr="00EA27C8" w:rsidRDefault="006724F5" w:rsidP="006724F5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7A1B544A" w14:textId="04932DED" w:rsidR="00107C84" w:rsidRDefault="00107C84" w:rsidP="00107C84">
            <w:pPr>
              <w:ind w:firstLine="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розташована поза межами червоних ліній.</w:t>
            </w:r>
          </w:p>
          <w:p w14:paraId="101A033E" w14:textId="72A0350A" w:rsidR="001D4A3B" w:rsidRDefault="001D4A3B" w:rsidP="001D4A3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</w:t>
            </w:r>
            <w:r w:rsidR="00C225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містить</w:t>
            </w:r>
            <w:r w:rsidRPr="00D80A2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копії документів, які посвідчують, що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</w:t>
            </w:r>
            <w:r w:rsidRPr="001D4A3B">
              <w:rPr>
                <w:rFonts w:ascii="Times New Roman" w:hAnsi="Times New Roman" w:cs="Times New Roman"/>
                <w:i/>
              </w:rPr>
              <w:t xml:space="preserve">гр. </w:t>
            </w:r>
            <w:proofErr w:type="spellStart"/>
            <w:r w:rsidRPr="001D4A3B">
              <w:rPr>
                <w:rFonts w:ascii="Times New Roman" w:hAnsi="Times New Roman" w:cs="Times New Roman"/>
                <w:i/>
              </w:rPr>
              <w:t>Кривоше</w:t>
            </w:r>
            <w:r w:rsidR="001C02BD">
              <w:rPr>
                <w:rFonts w:ascii="Times New Roman" w:hAnsi="Times New Roman" w:cs="Times New Roman"/>
                <w:i/>
              </w:rPr>
              <w:t>й</w:t>
            </w:r>
            <w:proofErr w:type="spellEnd"/>
            <w:r w:rsidRPr="001D4A3B">
              <w:rPr>
                <w:rFonts w:ascii="Times New Roman" w:hAnsi="Times New Roman" w:cs="Times New Roman"/>
                <w:i/>
              </w:rPr>
              <w:t xml:space="preserve"> О.Г</w:t>
            </w:r>
            <w:r w:rsidR="00C22548">
              <w:rPr>
                <w:rFonts w:ascii="Times New Roman" w:hAnsi="Times New Roman" w:cs="Times New Roman"/>
                <w:i/>
              </w:rPr>
              <w:t>.</w:t>
            </w:r>
            <w:r w:rsidRPr="00D80A2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 ветераном війни – учасником бойових дій. </w:t>
            </w:r>
          </w:p>
          <w:p w14:paraId="2AEE3464" w14:textId="77777777" w:rsidR="00107C84" w:rsidRDefault="00107C84" w:rsidP="00107C84">
            <w:pPr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сформована та зареєстрована в Державному земельному кадастрі на підставі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0F5C9DEC" w14:textId="5D077FDE" w:rsidR="00107C84" w:rsidRDefault="00107C84" w:rsidP="00107C8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C6CFF">
              <w:rPr>
                <w:rStyle w:val="af"/>
                <w:rFonts w:ascii="Times New Roman" w:hAnsi="Times New Roman" w:cs="Times New Roman"/>
                <w:bCs/>
              </w:rPr>
              <w:t xml:space="preserve">Рішення про затвердження </w:t>
            </w:r>
            <w:proofErr w:type="spellStart"/>
            <w:r w:rsidRPr="002C6CFF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2C6CFF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</w:t>
            </w:r>
            <w:r w:rsidRPr="002C6CFF">
              <w:rPr>
                <w:rStyle w:val="af"/>
                <w:rFonts w:ascii="Times New Roman" w:hAnsi="Times New Roman" w:cs="Times New Roman"/>
                <w:bCs/>
              </w:rPr>
              <w:t xml:space="preserve"> та передачу зазначеної земельної ділянки</w:t>
            </w:r>
            <w:r>
              <w:rPr>
                <w:rStyle w:val="af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</w:t>
            </w:r>
            <w:r w:rsidR="008B0594">
              <w:rPr>
                <w:rFonts w:ascii="Times New Roman" w:hAnsi="Times New Roman" w:cs="Times New Roman"/>
                <w:i/>
              </w:rPr>
              <w:t>.</w:t>
            </w:r>
          </w:p>
          <w:p w14:paraId="6F23260C" w14:textId="77777777" w:rsidR="00107C84" w:rsidRDefault="00107C84" w:rsidP="00107C8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27786DB" w14:textId="77777777" w:rsidR="00107C84" w:rsidRDefault="00107C84" w:rsidP="00107C84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2E7D5A00" w:rsidR="006724F5" w:rsidRPr="003774B2" w:rsidRDefault="00107C84" w:rsidP="00107C8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0F29AC3" w14:textId="6471B05F" w:rsidR="001D4A3B" w:rsidRPr="003774B2" w:rsidRDefault="001D4A3B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1CFD801A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</w:t>
      </w:r>
      <w:r w:rsidR="006F520C">
        <w:rPr>
          <w:sz w:val="24"/>
          <w:szCs w:val="24"/>
        </w:rPr>
        <w:t xml:space="preserve">                       </w:t>
      </w:r>
      <w:r w:rsidRPr="00DF2891">
        <w:rPr>
          <w:sz w:val="24"/>
          <w:szCs w:val="24"/>
        </w:rPr>
        <w:t>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4B5044F" w14:textId="34C107AF" w:rsidR="009078AA" w:rsidRDefault="009078AA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proofErr w:type="spellStart"/>
      <w:r w:rsidRPr="009078AA">
        <w:rPr>
          <w:sz w:val="24"/>
          <w:szCs w:val="24"/>
        </w:rPr>
        <w:t>Про</w:t>
      </w:r>
      <w:r w:rsidR="00862F0D">
        <w:rPr>
          <w:sz w:val="24"/>
          <w:szCs w:val="24"/>
        </w:rPr>
        <w:t>є</w:t>
      </w:r>
      <w:r w:rsidRPr="009078AA">
        <w:rPr>
          <w:sz w:val="24"/>
          <w:szCs w:val="24"/>
        </w:rPr>
        <w:t>кт</w:t>
      </w:r>
      <w:proofErr w:type="spellEnd"/>
      <w:r w:rsidRPr="009078AA">
        <w:rPr>
          <w:sz w:val="24"/>
          <w:szCs w:val="24"/>
        </w:rPr>
        <w:t xml:space="preserve"> рішення містить інформацію </w:t>
      </w:r>
      <w:r w:rsidR="006F520C">
        <w:rPr>
          <w:sz w:val="24"/>
          <w:szCs w:val="24"/>
        </w:rPr>
        <w:t xml:space="preserve">про заявника, що відноситься до інформації </w:t>
      </w:r>
      <w:r w:rsidRPr="009078AA">
        <w:rPr>
          <w:sz w:val="24"/>
          <w:szCs w:val="24"/>
        </w:rPr>
        <w:t>з обмеженим доступом у розумінні статті 6 Закону України «Про доступ до публічної інформації».</w:t>
      </w:r>
    </w:p>
    <w:p w14:paraId="6C509EEF" w14:textId="77777777" w:rsidR="004663CB" w:rsidRPr="009078AA" w:rsidRDefault="004663CB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</w:p>
    <w:p w14:paraId="3CA137B2" w14:textId="749E281E" w:rsidR="009078AA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lastRenderedPageBreak/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DF289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67F6449A" w:rsidR="00114807" w:rsidRDefault="00EF6A42" w:rsidP="00CC567E">
      <w:pPr>
        <w:pStyle w:val="1"/>
        <w:shd w:val="clear" w:color="auto" w:fill="auto"/>
        <w:spacing w:after="120"/>
        <w:rPr>
          <w:sz w:val="24"/>
          <w:szCs w:val="24"/>
        </w:rPr>
      </w:pPr>
      <w:r>
        <w:rPr>
          <w:sz w:val="24"/>
          <w:szCs w:val="24"/>
        </w:rPr>
        <w:t>Наслідками</w:t>
      </w:r>
      <w:r w:rsidRPr="00EF6A42">
        <w:rPr>
          <w:sz w:val="24"/>
          <w:szCs w:val="24"/>
        </w:rPr>
        <w:t xml:space="preserve"> </w:t>
      </w:r>
      <w:r w:rsidRPr="00534AE7">
        <w:rPr>
          <w:sz w:val="24"/>
          <w:szCs w:val="24"/>
        </w:rPr>
        <w:t xml:space="preserve">прийняття розробленого </w:t>
      </w:r>
      <w:proofErr w:type="spellStart"/>
      <w:r w:rsidRPr="00534AE7">
        <w:rPr>
          <w:sz w:val="24"/>
          <w:szCs w:val="24"/>
        </w:rPr>
        <w:t>проєкту</w:t>
      </w:r>
      <w:proofErr w:type="spellEnd"/>
      <w:r w:rsidRPr="00534AE7">
        <w:rPr>
          <w:sz w:val="24"/>
          <w:szCs w:val="24"/>
        </w:rPr>
        <w:t xml:space="preserve"> рішення стане реалізація зацікавленими особами своїх прав щодо використання земельної ділянки.</w:t>
      </w:r>
      <w:r w:rsidRPr="00534AE7">
        <w:rPr>
          <w:color w:val="auto"/>
          <w:sz w:val="24"/>
          <w:szCs w:val="24"/>
        </w:rPr>
        <w:t xml:space="preserve">  </w:t>
      </w:r>
    </w:p>
    <w:p w14:paraId="52896731" w14:textId="77777777" w:rsidR="00CA391A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81082C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6F5034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212F" w14:textId="6700B77E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F1493B">
      <w:rPr>
        <w:sz w:val="12"/>
        <w:szCs w:val="12"/>
        <w:lang w:val="ru-RU"/>
      </w:rPr>
      <w:t>ПЗН-62171</w:t>
    </w:r>
    <w:r w:rsidR="00862990">
      <w:rPr>
        <w:sz w:val="12"/>
        <w:szCs w:val="12"/>
      </w:rPr>
      <w:t xml:space="preserve"> від </w:t>
    </w:r>
    <w:r w:rsidR="00B2667F" w:rsidRPr="00F1493B">
      <w:rPr>
        <w:sz w:val="12"/>
        <w:szCs w:val="12"/>
        <w:lang w:val="ru-RU"/>
      </w:rPr>
      <w:t>07.02.2024</w:t>
    </w:r>
    <w:r w:rsidR="00107C84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>516327535</w:t>
    </w:r>
  </w:p>
  <w:p w14:paraId="2E60DAB9" w14:textId="4C4680FB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663CB" w:rsidRPr="004663C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78504147">
    <w:abstractNumId w:val="2"/>
  </w:num>
  <w:num w:numId="2" w16cid:durableId="514736016">
    <w:abstractNumId w:val="0"/>
  </w:num>
  <w:num w:numId="3" w16cid:durableId="903642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81"/>
    <w:rsid w:val="000036E6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07C84"/>
    <w:rsid w:val="00110C03"/>
    <w:rsid w:val="00114807"/>
    <w:rsid w:val="00143284"/>
    <w:rsid w:val="0014558C"/>
    <w:rsid w:val="00150588"/>
    <w:rsid w:val="00155A66"/>
    <w:rsid w:val="00166900"/>
    <w:rsid w:val="00193E39"/>
    <w:rsid w:val="001C02BD"/>
    <w:rsid w:val="001D4A3B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B527A"/>
    <w:rsid w:val="003C17B4"/>
    <w:rsid w:val="003F08A4"/>
    <w:rsid w:val="003F796B"/>
    <w:rsid w:val="004223BA"/>
    <w:rsid w:val="00446BFC"/>
    <w:rsid w:val="004571B2"/>
    <w:rsid w:val="004663CB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724F5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034"/>
    <w:rsid w:val="006F5153"/>
    <w:rsid w:val="006F520C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2F0D"/>
    <w:rsid w:val="008669DB"/>
    <w:rsid w:val="00880D60"/>
    <w:rsid w:val="008A1CBE"/>
    <w:rsid w:val="008B0594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5A3F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36BC"/>
    <w:rsid w:val="00BE5396"/>
    <w:rsid w:val="00BE76CE"/>
    <w:rsid w:val="00C22548"/>
    <w:rsid w:val="00C2624F"/>
    <w:rsid w:val="00C70A6D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86AF4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5CAE"/>
    <w:rsid w:val="00EF6A42"/>
    <w:rsid w:val="00EF7797"/>
    <w:rsid w:val="00F02B99"/>
    <w:rsid w:val="00F1493B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107C8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3612</Words>
  <Characters>2059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5660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Корнійчук Олеся Михайлівна</cp:lastModifiedBy>
  <cp:revision>2</cp:revision>
  <cp:lastPrinted>2024-02-14T12:20:00Z</cp:lastPrinted>
  <dcterms:created xsi:type="dcterms:W3CDTF">2024-02-21T10:58:00Z</dcterms:created>
  <dcterms:modified xsi:type="dcterms:W3CDTF">2024-02-21T10:58:00Z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2024-02-21T10:58:55Z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e75e4d6e-86af-4922-ba2a-70e0d14060c7</vt:lpwstr>
  </property>
  <property fmtid="{D5CDD505-2E9C-101B-9397-08002B2CF9AE}" pid="8" name="MSIP_Label_defa4170-0d19-0005-0004-bc88714345d2_ContentBits">
    <vt:lpwstr>0</vt:lpwstr>
  </property>
</Properties>
</file>