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499414433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499414433</w:t>
                      </w:r>
                      <w:proofErr w:type="spellEnd"/>
                    </w:p>
                  </w:txbxContent>
                </v:textbox>
              </v:shape>
            </w:pict>
          </mc:Fallback>
        </mc:AlternateContent>
      </w:r>
    </w:p>
    <w:tbl>
      <w:tblPr>
        <w:tblW w:w="0" w:type="auto"/>
        <w:tblLook w:val="01E0" w:firstRow="1" w:lastRow="1" w:firstColumn="1" w:lastColumn="1" w:noHBand="0" w:noVBand="0"/>
      </w:tblPr>
      <w:tblGrid>
        <w:gridCol w:w="5812"/>
      </w:tblGrid>
      <w:tr w:rsidR="00DE4A20" w:rsidRPr="00F167ED" w14:paraId="39883B9B" w14:textId="77777777" w:rsidTr="00F167ED">
        <w:trPr>
          <w:trHeight w:val="2500"/>
        </w:trPr>
        <w:tc>
          <w:tcPr>
            <w:tcW w:w="5812" w:type="dxa"/>
            <w:hideMark/>
          </w:tcPr>
          <w:p w14:paraId="0B182D23" w14:textId="76BF827A" w:rsidR="00F6318B" w:rsidRPr="00DE4A20" w:rsidRDefault="0009503E" w:rsidP="00F167E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F167ED">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F167ED">
              <w:rPr>
                <w:b/>
                <w:color w:val="000000" w:themeColor="text1"/>
                <w:sz w:val="28"/>
                <w:szCs w:val="28"/>
              </w:rPr>
              <w:t>ОМУ</w:t>
            </w:r>
            <w:r w:rsidR="00A264FD" w:rsidRPr="00DE4A20">
              <w:rPr>
                <w:b/>
                <w:color w:val="000000" w:themeColor="text1"/>
                <w:sz w:val="28"/>
                <w:szCs w:val="28"/>
              </w:rPr>
              <w:t xml:space="preserve"> ПІДПРИЄМСТВ</w:t>
            </w:r>
            <w:r w:rsidR="00F167ED">
              <w:rPr>
                <w:b/>
                <w:color w:val="000000" w:themeColor="text1"/>
                <w:sz w:val="28"/>
                <w:szCs w:val="28"/>
              </w:rPr>
              <w:t>У</w:t>
            </w:r>
            <w:r w:rsidR="00A264FD" w:rsidRPr="00DE4A20">
              <w:rPr>
                <w:b/>
                <w:color w:val="000000" w:themeColor="text1"/>
                <w:sz w:val="28"/>
                <w:szCs w:val="28"/>
              </w:rPr>
              <w:t xml:space="preserve"> ВИКОНАВЧОГО ОРГАНУ КИЇВРАДИ (КИЇВСЬКОЇ МІСЬКОЇ ДЕРЖАВНОЇ АДМІНІСТРАЦІЇ) «КИЇВТЕПЛОЕНЕРГО»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F167ED">
              <w:rPr>
                <w:rStyle w:val="af2"/>
                <w:b/>
                <w:i w:val="0"/>
                <w:color w:val="000000" w:themeColor="text1"/>
                <w:sz w:val="28"/>
                <w:szCs w:val="28"/>
              </w:rPr>
              <w:t xml:space="preserve"> для експлуатації та обслуговування нежитлової будівлі індивідуального теплового пункту</w:t>
            </w:r>
            <w:r w:rsidR="00FB314E" w:rsidRPr="00DE4A20">
              <w:rPr>
                <w:b/>
                <w:iCs/>
                <w:color w:val="000000" w:themeColor="text1"/>
                <w:sz w:val="28"/>
                <w:szCs w:val="28"/>
              </w:rPr>
              <w:t xml:space="preserve"> </w:t>
            </w:r>
            <w:r w:rsidRPr="00DE4A20">
              <w:rPr>
                <w:b/>
                <w:color w:val="000000" w:themeColor="text1"/>
                <w:sz w:val="28"/>
                <w:szCs w:val="28"/>
              </w:rPr>
              <w:t xml:space="preserve">на </w:t>
            </w:r>
            <w:r w:rsidR="00F167ED">
              <w:rPr>
                <w:b/>
                <w:color w:val="000000" w:themeColor="text1"/>
                <w:sz w:val="28"/>
                <w:szCs w:val="28"/>
              </w:rPr>
              <w:t xml:space="preserve">                </w:t>
            </w:r>
            <w:r w:rsidR="0001227E" w:rsidRPr="00DE4A20">
              <w:rPr>
                <w:b/>
                <w:iCs/>
                <w:color w:val="000000" w:themeColor="text1"/>
                <w:sz w:val="28"/>
                <w:szCs w:val="28"/>
              </w:rPr>
              <w:t>вул. Алматинськ</w:t>
            </w:r>
            <w:r w:rsidR="00F167ED">
              <w:rPr>
                <w:b/>
                <w:iCs/>
                <w:color w:val="000000" w:themeColor="text1"/>
                <w:sz w:val="28"/>
                <w:szCs w:val="28"/>
              </w:rPr>
              <w:t>ій</w:t>
            </w:r>
            <w:r w:rsidR="0001227E" w:rsidRPr="00DE4A20">
              <w:rPr>
                <w:b/>
                <w:iCs/>
                <w:color w:val="000000" w:themeColor="text1"/>
                <w:sz w:val="28"/>
                <w:szCs w:val="28"/>
              </w:rPr>
              <w:t>, 43/57</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5743839" w:rsidR="00F6318B" w:rsidRPr="00DE4A20" w:rsidRDefault="00C7069E" w:rsidP="00F6318B">
      <w:pPr>
        <w:pStyle w:val="20"/>
        <w:ind w:firstLine="709"/>
        <w:rPr>
          <w:color w:val="000000" w:themeColor="text1"/>
          <w:szCs w:val="28"/>
          <w:lang w:val="uk-UA"/>
        </w:rPr>
      </w:pPr>
      <w:r w:rsidRPr="00F167ED">
        <w:rPr>
          <w:color w:val="000000" w:themeColor="text1"/>
          <w:lang w:val="uk-UA"/>
        </w:rPr>
        <w:t>Відповідно до статей 9, 79</w:t>
      </w:r>
      <w:r w:rsidR="00F167ED">
        <w:rPr>
          <w:color w:val="000000" w:themeColor="text1"/>
          <w:vertAlign w:val="superscript"/>
          <w:lang w:val="uk-UA"/>
        </w:rPr>
        <w:t>1</w:t>
      </w:r>
      <w:r w:rsidRPr="00F167ED">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КОМУНАЛЬНОГО ПІДПРИЄМСТВА ВИКОНАВЧОГО ОРГАНУ КИЇВРАДИ (КИЇВСЬКОЇ МІСЬКОЇ ДЕРЖАВНОЇ АДМІНІСТРАЦІЇ) «КИЇВТЕПЛОЕНЕРГО» від 08 лютого 2023 року № 67063-007279185-031-03,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8A7943" w:rsidRDefault="00207296" w:rsidP="00F6318B">
      <w:pPr>
        <w:ind w:firstLine="567"/>
        <w:jc w:val="both"/>
        <w:rPr>
          <w:rFonts w:ascii="Georgia" w:hAnsi="Georgia"/>
          <w:b/>
          <w:snapToGrid w:val="0"/>
          <w:color w:val="000000" w:themeColor="text1"/>
          <w:sz w:val="28"/>
          <w:lang w:val="uk-UA"/>
        </w:rPr>
      </w:pPr>
    </w:p>
    <w:p w14:paraId="464080F7" w14:textId="0EF26091" w:rsidR="00DD418B" w:rsidRPr="00DD418B" w:rsidRDefault="00DD418B" w:rsidP="000F7B06">
      <w:pPr>
        <w:ind w:firstLine="709"/>
        <w:jc w:val="both"/>
        <w:rPr>
          <w:color w:val="000000" w:themeColor="text1"/>
          <w:sz w:val="28"/>
          <w:szCs w:val="28"/>
          <w:lang w:val="uk-UA"/>
        </w:rPr>
      </w:pPr>
      <w:r w:rsidRPr="008A7943">
        <w:rPr>
          <w:color w:val="000000" w:themeColor="text1"/>
          <w:sz w:val="28"/>
          <w:szCs w:val="28"/>
          <w:lang w:val="uk-UA"/>
        </w:rPr>
        <w:t>1</w:t>
      </w:r>
      <w:r>
        <w:rPr>
          <w:color w:val="000000" w:themeColor="text1"/>
          <w:sz w:val="28"/>
          <w:szCs w:val="28"/>
          <w:lang w:val="uk-UA"/>
        </w:rPr>
        <w:t xml:space="preserve">. Затвердити </w:t>
      </w:r>
      <w:r w:rsidRPr="00F167ED">
        <w:rPr>
          <w:color w:val="000000" w:themeColor="text1"/>
          <w:sz w:val="28"/>
          <w:szCs w:val="28"/>
          <w:lang w:val="uk-UA"/>
        </w:rPr>
        <w:t>технічну документацію</w:t>
      </w:r>
      <w:r w:rsidR="00497049">
        <w:rPr>
          <w:color w:val="000000" w:themeColor="text1"/>
          <w:sz w:val="28"/>
          <w:szCs w:val="28"/>
          <w:lang w:val="uk-UA"/>
        </w:rPr>
        <w:t xml:space="preserve"> </w:t>
      </w:r>
      <w:r w:rsidR="00F167ED">
        <w:rPr>
          <w:color w:val="000000" w:themeColor="text1"/>
          <w:sz w:val="28"/>
          <w:szCs w:val="28"/>
          <w:lang w:val="uk-UA"/>
        </w:rPr>
        <w:t xml:space="preserve">із землеустрою щодо інвентаризації земельної ділянки комунальної власності </w:t>
      </w:r>
      <w:r w:rsidR="00F167ED" w:rsidRPr="00D124D1">
        <w:rPr>
          <w:color w:val="000000" w:themeColor="text1"/>
          <w:sz w:val="28"/>
          <w:szCs w:val="28"/>
          <w:lang w:val="uk-UA"/>
        </w:rPr>
        <w:t xml:space="preserve">КОМУНАЛЬНОМУ ПІДПРИЄМСТВУ ВИКОНАВЧОГО ОРГАНУ КИЇВРАДИ (КИЇВСЬКОЇ МІСЬКОЇ </w:t>
      </w:r>
      <w:r w:rsidR="00F167ED" w:rsidRPr="003737D7">
        <w:rPr>
          <w:color w:val="000000" w:themeColor="text1"/>
          <w:sz w:val="28"/>
          <w:szCs w:val="28"/>
          <w:lang w:val="uk-UA"/>
        </w:rPr>
        <w:t xml:space="preserve">ДЕРЖАВНОЇ АДМІНІСТРАЦІЇ) «КИЇВТЕПЛОЕНЕРГО» для </w:t>
      </w:r>
      <w:r w:rsidR="00F167ED" w:rsidRPr="003737D7">
        <w:rPr>
          <w:color w:val="000000" w:themeColor="text1"/>
          <w:sz w:val="28"/>
          <w:szCs w:val="28"/>
          <w:lang w:val="uk-UA"/>
        </w:rPr>
        <w:lastRenderedPageBreak/>
        <w:t xml:space="preserve">експлуатації та обслуговування </w:t>
      </w:r>
      <w:r w:rsidR="00F167ED">
        <w:rPr>
          <w:color w:val="000000" w:themeColor="text1"/>
          <w:sz w:val="28"/>
          <w:szCs w:val="28"/>
          <w:lang w:val="uk-UA"/>
        </w:rPr>
        <w:t xml:space="preserve">нежитлової </w:t>
      </w:r>
      <w:r w:rsidR="00F167ED" w:rsidRPr="003737D7">
        <w:rPr>
          <w:color w:val="000000" w:themeColor="text1"/>
          <w:sz w:val="28"/>
          <w:szCs w:val="28"/>
          <w:lang w:val="uk-UA"/>
        </w:rPr>
        <w:t xml:space="preserve">будівлі </w:t>
      </w:r>
      <w:r w:rsidR="00F167ED">
        <w:rPr>
          <w:iCs/>
          <w:color w:val="000000" w:themeColor="text1"/>
          <w:sz w:val="28"/>
          <w:szCs w:val="28"/>
          <w:lang w:val="uk-UA"/>
        </w:rPr>
        <w:t>індивідуального</w:t>
      </w:r>
      <w:r w:rsidR="00F167ED" w:rsidRPr="00A53030">
        <w:rPr>
          <w:b/>
          <w:iCs/>
          <w:color w:val="000000" w:themeColor="text1"/>
          <w:sz w:val="28"/>
          <w:szCs w:val="28"/>
          <w:lang w:val="uk-UA"/>
        </w:rPr>
        <w:t xml:space="preserve"> </w:t>
      </w:r>
      <w:r w:rsidR="00F167ED" w:rsidRPr="003737D7">
        <w:rPr>
          <w:color w:val="000000" w:themeColor="text1"/>
          <w:sz w:val="28"/>
          <w:szCs w:val="28"/>
          <w:lang w:val="uk-UA"/>
        </w:rPr>
        <w:t>теплового пункту</w:t>
      </w:r>
      <w:r w:rsidR="00F167ED">
        <w:rPr>
          <w:color w:val="000000" w:themeColor="text1"/>
          <w:sz w:val="28"/>
          <w:szCs w:val="28"/>
          <w:lang w:val="uk-UA"/>
        </w:rPr>
        <w:t xml:space="preserve"> на вул. Алматинській, 43/57 у Дніпровському районі міста Києва (</w:t>
      </w:r>
      <w:r w:rsidR="00F167ED" w:rsidRPr="00DE4A20">
        <w:rPr>
          <w:color w:val="000000" w:themeColor="text1"/>
          <w:sz w:val="28"/>
          <w:szCs w:val="28"/>
          <w:lang w:val="uk-UA"/>
        </w:rPr>
        <w:t xml:space="preserve">категорія земель </w:t>
      </w:r>
      <w:r w:rsidR="00F167ED">
        <w:rPr>
          <w:color w:val="000000" w:themeColor="text1"/>
          <w:sz w:val="28"/>
          <w:szCs w:val="28"/>
          <w:lang w:val="uk-UA"/>
        </w:rPr>
        <w:t>-</w:t>
      </w:r>
      <w:r w:rsidR="00F167ED" w:rsidRPr="00DE4A20">
        <w:rPr>
          <w:color w:val="000000" w:themeColor="text1"/>
          <w:sz w:val="28"/>
          <w:szCs w:val="28"/>
          <w:lang w:val="uk-UA"/>
        </w:rPr>
        <w:t xml:space="preserve"> землі промисловості, транспорту, </w:t>
      </w:r>
      <w:r w:rsidR="00F167ED">
        <w:rPr>
          <w:color w:val="000000" w:themeColor="text1"/>
          <w:sz w:val="28"/>
          <w:szCs w:val="28"/>
          <w:lang w:val="uk-UA"/>
        </w:rPr>
        <w:t>електронних комунікацій</w:t>
      </w:r>
      <w:r w:rsidR="00F167ED" w:rsidRPr="00DE4A20">
        <w:rPr>
          <w:color w:val="000000" w:themeColor="text1"/>
          <w:sz w:val="28"/>
          <w:szCs w:val="28"/>
          <w:lang w:val="uk-UA"/>
        </w:rPr>
        <w:t>, енергетики, оборони та іншого призначення</w:t>
      </w:r>
      <w:r w:rsidR="00F167ED">
        <w:rPr>
          <w:color w:val="000000" w:themeColor="text1"/>
          <w:sz w:val="28"/>
          <w:szCs w:val="28"/>
          <w:lang w:val="uk-UA"/>
        </w:rPr>
        <w:t>, код виду цільового призначення - 11.04</w:t>
      </w:r>
      <w:r w:rsidR="00F167ED" w:rsidRPr="00E13205">
        <w:rPr>
          <w:color w:val="000000" w:themeColor="text1"/>
          <w:sz w:val="28"/>
          <w:szCs w:val="28"/>
          <w:lang w:val="uk-UA"/>
        </w:rPr>
        <w:t>, справа</w:t>
      </w:r>
      <w:r w:rsidR="00F167ED">
        <w:rPr>
          <w:color w:val="000000" w:themeColor="text1"/>
          <w:sz w:val="28"/>
          <w:szCs w:val="28"/>
          <w:lang w:val="uk-UA"/>
        </w:rPr>
        <w:t xml:space="preserve"> </w:t>
      </w:r>
      <w:r w:rsidR="00F167ED" w:rsidRPr="00DE4A20">
        <w:rPr>
          <w:color w:val="000000" w:themeColor="text1"/>
          <w:sz w:val="28"/>
          <w:szCs w:val="28"/>
          <w:lang w:val="uk-UA"/>
        </w:rPr>
        <w:t>№</w:t>
      </w:r>
      <w:r w:rsidR="00F167ED">
        <w:rPr>
          <w:color w:val="000000" w:themeColor="text1"/>
          <w:sz w:val="28"/>
          <w:szCs w:val="28"/>
          <w:lang w:val="uk-UA"/>
        </w:rPr>
        <w:t xml:space="preserve"> </w:t>
      </w:r>
      <w:r w:rsidR="00F167ED" w:rsidRPr="00DE4A20">
        <w:rPr>
          <w:b/>
          <w:color w:val="000000" w:themeColor="text1"/>
          <w:sz w:val="28"/>
          <w:szCs w:val="28"/>
          <w:lang w:val="uk-UA"/>
        </w:rPr>
        <w:t>499414433</w:t>
      </w:r>
      <w:r w:rsidR="00F167ED" w:rsidRPr="00F66BEB">
        <w:rPr>
          <w:color w:val="000000" w:themeColor="text1"/>
          <w:sz w:val="28"/>
          <w:szCs w:val="28"/>
          <w:lang w:val="uk-UA"/>
        </w:rPr>
        <w:t>)</w:t>
      </w:r>
      <w:r>
        <w:rPr>
          <w:color w:val="000000" w:themeColor="text1"/>
          <w:sz w:val="28"/>
          <w:szCs w:val="28"/>
          <w:lang w:val="uk-UA"/>
        </w:rPr>
        <w:t>.</w:t>
      </w:r>
    </w:p>
    <w:p w14:paraId="1D156EFA" w14:textId="20ED212D"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F66BEB">
        <w:rPr>
          <w:color w:val="000000" w:themeColor="text1"/>
          <w:sz w:val="28"/>
          <w:szCs w:val="28"/>
          <w:lang w:val="uk-UA"/>
        </w:rPr>
        <w:t>Надати</w:t>
      </w:r>
      <w:r w:rsidR="0009503E" w:rsidRPr="00DE4A20">
        <w:rPr>
          <w:color w:val="000000" w:themeColor="text1"/>
          <w:sz w:val="28"/>
          <w:szCs w:val="28"/>
          <w:lang w:val="uk-UA"/>
        </w:rPr>
        <w:t xml:space="preserve"> </w:t>
      </w:r>
      <w:r w:rsidR="00A264FD" w:rsidRPr="00F167ED">
        <w:rPr>
          <w:color w:val="000000" w:themeColor="text1"/>
          <w:sz w:val="28"/>
          <w:szCs w:val="28"/>
          <w:lang w:val="uk-UA"/>
        </w:rPr>
        <w:t>КОМУНАЛЬН</w:t>
      </w:r>
      <w:r w:rsidR="00F66BEB">
        <w:rPr>
          <w:color w:val="000000" w:themeColor="text1"/>
          <w:sz w:val="28"/>
          <w:szCs w:val="28"/>
          <w:lang w:val="uk-UA"/>
        </w:rPr>
        <w:t>ОМУ</w:t>
      </w:r>
      <w:r w:rsidR="00A264FD" w:rsidRPr="00F167ED">
        <w:rPr>
          <w:color w:val="000000" w:themeColor="text1"/>
          <w:sz w:val="28"/>
          <w:szCs w:val="28"/>
          <w:lang w:val="uk-UA"/>
        </w:rPr>
        <w:t xml:space="preserve"> ПІДПРИЄМСТВ</w:t>
      </w:r>
      <w:r w:rsidR="00F66BEB">
        <w:rPr>
          <w:color w:val="000000" w:themeColor="text1"/>
          <w:sz w:val="28"/>
          <w:szCs w:val="28"/>
          <w:lang w:val="uk-UA"/>
        </w:rPr>
        <w:t>У</w:t>
      </w:r>
      <w:r w:rsidR="00A264FD" w:rsidRPr="00F167ED">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0009503E" w:rsidRPr="00DE4A20">
        <w:rPr>
          <w:color w:val="000000" w:themeColor="text1"/>
          <w:sz w:val="28"/>
          <w:szCs w:val="28"/>
          <w:lang w:val="uk-UA"/>
        </w:rPr>
        <w:t xml:space="preserve">, за умови виконання пункту </w:t>
      </w:r>
      <w:r w:rsidR="00E1355C" w:rsidRPr="00DE4A20">
        <w:rPr>
          <w:color w:val="000000" w:themeColor="text1"/>
          <w:sz w:val="28"/>
          <w:szCs w:val="28"/>
          <w:lang w:val="uk-UA"/>
        </w:rPr>
        <w:t>2</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F167ED">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F167ED">
        <w:rPr>
          <w:iCs/>
          <w:color w:val="000000" w:themeColor="text1"/>
          <w:sz w:val="28"/>
          <w:szCs w:val="28"/>
          <w:lang w:val="uk-UA" w:eastAsia="uk-UA"/>
        </w:rPr>
        <w:t>0,0510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F167ED">
        <w:rPr>
          <w:iCs/>
          <w:color w:val="000000" w:themeColor="text1"/>
          <w:sz w:val="28"/>
          <w:szCs w:val="28"/>
          <w:lang w:val="uk-UA" w:eastAsia="uk-UA"/>
        </w:rPr>
        <w:t>8000000000:66:259:0009</w:t>
      </w:r>
      <w:r w:rsidR="00F837D8" w:rsidRPr="00DE4A20">
        <w:rPr>
          <w:color w:val="000000" w:themeColor="text1"/>
          <w:sz w:val="28"/>
          <w:szCs w:val="28"/>
          <w:lang w:val="uk-UA"/>
        </w:rPr>
        <w:t xml:space="preserve">) </w:t>
      </w:r>
      <w:r w:rsidR="00F66BEB" w:rsidRPr="003737D7">
        <w:rPr>
          <w:color w:val="000000" w:themeColor="text1"/>
          <w:sz w:val="28"/>
          <w:szCs w:val="28"/>
          <w:lang w:val="uk-UA"/>
        </w:rPr>
        <w:t xml:space="preserve">для експлуатації та обслуговування </w:t>
      </w:r>
      <w:r w:rsidR="00F66BEB">
        <w:rPr>
          <w:color w:val="000000" w:themeColor="text1"/>
          <w:sz w:val="28"/>
          <w:szCs w:val="28"/>
          <w:lang w:val="uk-UA"/>
        </w:rPr>
        <w:t xml:space="preserve">нежитлової </w:t>
      </w:r>
      <w:r w:rsidR="00F66BEB" w:rsidRPr="003737D7">
        <w:rPr>
          <w:color w:val="000000" w:themeColor="text1"/>
          <w:sz w:val="28"/>
          <w:szCs w:val="28"/>
          <w:lang w:val="uk-UA"/>
        </w:rPr>
        <w:t xml:space="preserve">будівлі </w:t>
      </w:r>
      <w:r w:rsidR="00F66BEB">
        <w:rPr>
          <w:iCs/>
          <w:color w:val="000000" w:themeColor="text1"/>
          <w:sz w:val="28"/>
          <w:szCs w:val="28"/>
          <w:lang w:val="uk-UA"/>
        </w:rPr>
        <w:t>індивідуального</w:t>
      </w:r>
      <w:r w:rsidR="00F66BEB" w:rsidRPr="00A53030">
        <w:rPr>
          <w:b/>
          <w:iCs/>
          <w:color w:val="000000" w:themeColor="text1"/>
          <w:sz w:val="28"/>
          <w:szCs w:val="28"/>
          <w:lang w:val="uk-UA"/>
        </w:rPr>
        <w:t xml:space="preserve"> </w:t>
      </w:r>
      <w:r w:rsidR="00F66BEB" w:rsidRPr="003737D7">
        <w:rPr>
          <w:color w:val="000000" w:themeColor="text1"/>
          <w:sz w:val="28"/>
          <w:szCs w:val="28"/>
          <w:lang w:val="uk-UA"/>
        </w:rPr>
        <w:t>теплового пункту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F66BEB">
        <w:rPr>
          <w:color w:val="000000" w:themeColor="text1"/>
          <w:sz w:val="28"/>
          <w:szCs w:val="28"/>
          <w:lang w:val="uk-UA"/>
        </w:rPr>
        <w:t>-</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B479F2">
        <w:rPr>
          <w:color w:val="000000" w:themeColor="text1"/>
          <w:sz w:val="28"/>
          <w:lang w:val="uk-UA"/>
        </w:rPr>
        <w:t xml:space="preserve">                                </w:t>
      </w:r>
      <w:r w:rsidR="00F837D8" w:rsidRPr="00F167ED">
        <w:rPr>
          <w:iCs/>
          <w:color w:val="000000" w:themeColor="text1"/>
          <w:sz w:val="28"/>
          <w:szCs w:val="28"/>
          <w:lang w:val="uk-UA"/>
        </w:rPr>
        <w:t xml:space="preserve">вул. </w:t>
      </w:r>
      <w:r w:rsidR="00F837D8" w:rsidRPr="00F66BEB">
        <w:rPr>
          <w:iCs/>
          <w:color w:val="000000" w:themeColor="text1"/>
          <w:sz w:val="28"/>
          <w:szCs w:val="28"/>
          <w:lang w:val="uk-UA"/>
        </w:rPr>
        <w:t>Алматинськ</w:t>
      </w:r>
      <w:r w:rsidR="00F66BEB">
        <w:rPr>
          <w:iCs/>
          <w:color w:val="000000" w:themeColor="text1"/>
          <w:sz w:val="28"/>
          <w:szCs w:val="28"/>
          <w:lang w:val="uk-UA"/>
        </w:rPr>
        <w:t>ій</w:t>
      </w:r>
      <w:r w:rsidR="00F837D8" w:rsidRPr="00F66BEB">
        <w:rPr>
          <w:iCs/>
          <w:color w:val="000000" w:themeColor="text1"/>
          <w:sz w:val="28"/>
          <w:szCs w:val="28"/>
          <w:lang w:val="uk-UA"/>
        </w:rPr>
        <w:t>, 43/57</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F66BEB">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F66BEB">
        <w:rPr>
          <w:color w:val="000000" w:themeColor="text1"/>
          <w:sz w:val="28"/>
          <w:szCs w:val="28"/>
          <w:lang w:val="uk-UA"/>
        </w:rPr>
        <w:t xml:space="preserve">у зв’язку із закріпленням нерухомого майна на праві господарського відання відповідно до рішення Київської міської ради від </w:t>
      </w:r>
      <w:r w:rsidR="00F66BEB" w:rsidRPr="005F1B5F">
        <w:rPr>
          <w:color w:val="000000" w:themeColor="text1"/>
          <w:sz w:val="28"/>
          <w:szCs w:val="28"/>
          <w:lang w:val="uk-UA"/>
        </w:rPr>
        <w:t>28</w:t>
      </w:r>
      <w:r w:rsidR="00F66BEB">
        <w:rPr>
          <w:color w:val="000000" w:themeColor="text1"/>
          <w:sz w:val="28"/>
          <w:szCs w:val="28"/>
          <w:lang w:val="uk-UA"/>
        </w:rPr>
        <w:t xml:space="preserve"> липня </w:t>
      </w:r>
      <w:r w:rsidR="00F66BEB" w:rsidRPr="005F1B5F">
        <w:rPr>
          <w:color w:val="000000" w:themeColor="text1"/>
          <w:sz w:val="28"/>
          <w:szCs w:val="28"/>
          <w:lang w:val="uk-UA"/>
        </w:rPr>
        <w:t xml:space="preserve">2016 </w:t>
      </w:r>
      <w:r w:rsidR="00F66BEB">
        <w:rPr>
          <w:color w:val="000000" w:themeColor="text1"/>
          <w:sz w:val="28"/>
          <w:szCs w:val="28"/>
          <w:lang w:val="uk-UA"/>
        </w:rPr>
        <w:t xml:space="preserve">року № 854/854 «Про деякі питання використання майна, яке належить до комунальної власності територіальної громади міста Києва і перебуває у володінні та користуванні </w:t>
      </w:r>
      <w:r w:rsidR="00B479F2">
        <w:rPr>
          <w:color w:val="000000" w:themeColor="text1"/>
          <w:sz w:val="28"/>
          <w:szCs w:val="28"/>
          <w:lang w:val="uk-UA"/>
        </w:rPr>
        <w:t xml:space="preserve">  </w:t>
      </w:r>
      <w:r w:rsidR="00F66BEB">
        <w:rPr>
          <w:color w:val="000000" w:themeColor="text1"/>
          <w:sz w:val="28"/>
          <w:szCs w:val="28"/>
          <w:lang w:val="uk-UA"/>
        </w:rPr>
        <w:t>ПАТ «Київенерго»,</w:t>
      </w:r>
      <w:r w:rsidR="00F66BEB">
        <w:rPr>
          <w:sz w:val="28"/>
          <w:szCs w:val="28"/>
          <w:lang w:val="uk-UA"/>
        </w:rPr>
        <w:t xml:space="preserve"> </w:t>
      </w:r>
      <w:r w:rsidR="00F66BEB">
        <w:rPr>
          <w:color w:val="000000" w:themeColor="text1"/>
          <w:sz w:val="28"/>
          <w:szCs w:val="28"/>
          <w:lang w:val="uk-UA"/>
        </w:rPr>
        <w:t>право господарського відання зареєстровано в Державному реєстрі речових прав на нерухоме майно 10 грудня 2021 року, номер запису про інше речове право 45741461</w:t>
      </w:r>
      <w:r w:rsidR="00F66BEB" w:rsidRPr="00DE4A20">
        <w:rPr>
          <w:color w:val="000000" w:themeColor="text1"/>
          <w:sz w:val="28"/>
          <w:szCs w:val="28"/>
          <w:lang w:val="uk-UA"/>
        </w:rPr>
        <w:t xml:space="preserve"> (категорія земель </w:t>
      </w:r>
      <w:r w:rsidR="00F66BEB">
        <w:rPr>
          <w:color w:val="000000" w:themeColor="text1"/>
          <w:sz w:val="28"/>
          <w:szCs w:val="28"/>
          <w:lang w:val="uk-UA"/>
        </w:rPr>
        <w:t>-</w:t>
      </w:r>
      <w:r w:rsidR="00F66BEB" w:rsidRPr="00DE4A20">
        <w:rPr>
          <w:color w:val="000000" w:themeColor="text1"/>
          <w:sz w:val="28"/>
          <w:szCs w:val="28"/>
          <w:lang w:val="uk-UA"/>
        </w:rPr>
        <w:t xml:space="preserve"> землі промисловості, транспорту, </w:t>
      </w:r>
      <w:r w:rsidR="00F66BEB">
        <w:rPr>
          <w:color w:val="000000" w:themeColor="text1"/>
          <w:sz w:val="28"/>
          <w:szCs w:val="28"/>
          <w:shd w:val="clear" w:color="auto" w:fill="FFFFFF"/>
          <w:lang w:val="uk-UA"/>
        </w:rPr>
        <w:t>електронних комунікацій</w:t>
      </w:r>
      <w:r w:rsidR="00F66BEB" w:rsidRPr="00DE4A20">
        <w:rPr>
          <w:color w:val="000000" w:themeColor="text1"/>
          <w:sz w:val="28"/>
          <w:szCs w:val="28"/>
          <w:lang w:val="uk-UA"/>
        </w:rPr>
        <w:t xml:space="preserve">, енергетики, оборони та іншого призначення, заява </w:t>
      </w:r>
      <w:r w:rsidR="00B479F2">
        <w:rPr>
          <w:color w:val="000000" w:themeColor="text1"/>
          <w:sz w:val="28"/>
          <w:szCs w:val="28"/>
          <w:lang w:val="uk-UA"/>
        </w:rPr>
        <w:t xml:space="preserve">                </w:t>
      </w:r>
      <w:r w:rsidR="00F66BEB" w:rsidRPr="00DE4A20">
        <w:rPr>
          <w:color w:val="000000" w:themeColor="text1"/>
          <w:sz w:val="28"/>
          <w:szCs w:val="28"/>
          <w:lang w:val="uk-UA"/>
        </w:rPr>
        <w:t>ДЦ від</w:t>
      </w:r>
      <w:r w:rsidR="00F66BEB">
        <w:rPr>
          <w:color w:val="000000" w:themeColor="text1"/>
          <w:sz w:val="28"/>
          <w:szCs w:val="28"/>
          <w:lang w:val="uk-UA"/>
        </w:rPr>
        <w:t xml:space="preserve"> </w:t>
      </w:r>
      <w:r w:rsidR="00C96D29" w:rsidRPr="00DE4A20">
        <w:rPr>
          <w:color w:val="000000" w:themeColor="text1"/>
          <w:sz w:val="28"/>
          <w:szCs w:val="28"/>
          <w:lang w:val="uk-UA"/>
        </w:rPr>
        <w:t xml:space="preserve">08 лютого 2023 </w:t>
      </w:r>
      <w:r w:rsidR="00440782">
        <w:rPr>
          <w:color w:val="000000" w:themeColor="text1"/>
          <w:sz w:val="28"/>
          <w:szCs w:val="28"/>
          <w:lang w:val="uk-UA"/>
        </w:rPr>
        <w:t xml:space="preserve">року </w:t>
      </w:r>
      <w:r w:rsidR="00C96D29" w:rsidRPr="00DE4A20">
        <w:rPr>
          <w:color w:val="000000" w:themeColor="text1"/>
          <w:sz w:val="28"/>
          <w:szCs w:val="28"/>
          <w:lang w:val="uk-UA"/>
        </w:rPr>
        <w:t>№ 67063-007279185-031-03</w:t>
      </w:r>
      <w:r w:rsidR="00FD638E" w:rsidRPr="00DE4A20">
        <w:rPr>
          <w:color w:val="000000" w:themeColor="text1"/>
          <w:sz w:val="28"/>
          <w:szCs w:val="28"/>
          <w:lang w:val="uk-UA"/>
        </w:rPr>
        <w:t>)</w:t>
      </w:r>
      <w:r w:rsidR="0009503E" w:rsidRPr="00DE4A20">
        <w:rPr>
          <w:color w:val="000000" w:themeColor="text1"/>
          <w:sz w:val="28"/>
          <w:szCs w:val="28"/>
          <w:lang w:val="uk-UA"/>
        </w:rPr>
        <w:t>.</w:t>
      </w:r>
    </w:p>
    <w:p w14:paraId="2EEE98CD" w14:textId="77777777" w:rsidR="00F66BEB" w:rsidRPr="00DE4A20" w:rsidRDefault="00DD418B" w:rsidP="00F66BEB">
      <w:pPr>
        <w:ind w:firstLine="720"/>
        <w:jc w:val="both"/>
        <w:rPr>
          <w:color w:val="000000" w:themeColor="text1"/>
          <w:sz w:val="28"/>
          <w:szCs w:val="28"/>
          <w:lang w:val="uk-UA"/>
        </w:rPr>
      </w:pPr>
      <w:r w:rsidRPr="00F66BEB">
        <w:rPr>
          <w:color w:val="000000" w:themeColor="text1"/>
          <w:sz w:val="28"/>
          <w:szCs w:val="28"/>
          <w:lang w:val="uk-UA"/>
        </w:rPr>
        <w:t>3</w:t>
      </w:r>
      <w:r w:rsidR="0009503E" w:rsidRPr="00F66BEB">
        <w:rPr>
          <w:color w:val="000000" w:themeColor="text1"/>
          <w:sz w:val="28"/>
          <w:szCs w:val="28"/>
          <w:lang w:val="uk-UA"/>
        </w:rPr>
        <w:t>.</w:t>
      </w:r>
      <w:r w:rsidR="0051063D" w:rsidRPr="00F66BEB">
        <w:rPr>
          <w:color w:val="000000" w:themeColor="text1"/>
          <w:sz w:val="28"/>
          <w:szCs w:val="28"/>
          <w:lang w:val="uk-UA"/>
        </w:rPr>
        <w:t xml:space="preserve"> </w:t>
      </w:r>
      <w:r w:rsidR="00F66BEB" w:rsidRPr="00552C22">
        <w:rPr>
          <w:color w:val="000000" w:themeColor="text1"/>
          <w:sz w:val="28"/>
          <w:szCs w:val="28"/>
          <w:lang w:val="uk-UA"/>
        </w:rPr>
        <w:t>КОМУНАЛЬН</w:t>
      </w:r>
      <w:r w:rsidR="00F66BEB">
        <w:rPr>
          <w:color w:val="000000" w:themeColor="text1"/>
          <w:sz w:val="28"/>
          <w:szCs w:val="28"/>
          <w:lang w:val="uk-UA"/>
        </w:rPr>
        <w:t>ОМУ</w:t>
      </w:r>
      <w:r w:rsidR="00F66BEB" w:rsidRPr="00552C22">
        <w:rPr>
          <w:color w:val="000000" w:themeColor="text1"/>
          <w:sz w:val="28"/>
          <w:szCs w:val="28"/>
          <w:lang w:val="uk-UA"/>
        </w:rPr>
        <w:t xml:space="preserve"> ПІДПРИЄМСТВ</w:t>
      </w:r>
      <w:r w:rsidR="00F66BEB">
        <w:rPr>
          <w:color w:val="000000" w:themeColor="text1"/>
          <w:sz w:val="28"/>
          <w:szCs w:val="28"/>
          <w:lang w:val="uk-UA"/>
        </w:rPr>
        <w:t>У</w:t>
      </w:r>
      <w:r w:rsidR="00F66BEB" w:rsidRPr="00552C22">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00F66BEB">
        <w:rPr>
          <w:color w:val="000000" w:themeColor="text1"/>
          <w:sz w:val="28"/>
          <w:szCs w:val="28"/>
          <w:lang w:val="uk-UA"/>
        </w:rPr>
        <w:t>:</w:t>
      </w:r>
    </w:p>
    <w:p w14:paraId="1268CA8A" w14:textId="77777777" w:rsidR="00F66BEB" w:rsidRPr="00023E74" w:rsidRDefault="00F66BEB" w:rsidP="00F66BEB">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592ED058" w14:textId="77777777" w:rsidR="00F66BEB" w:rsidRPr="003C013F" w:rsidRDefault="00F66BEB" w:rsidP="00F66BEB">
      <w:pPr>
        <w:tabs>
          <w:tab w:val="left" w:pos="0"/>
        </w:tabs>
        <w:ind w:firstLine="680"/>
        <w:jc w:val="both"/>
        <w:rPr>
          <w:sz w:val="28"/>
          <w:szCs w:val="28"/>
          <w:lang w:val="uk-UA"/>
        </w:rPr>
      </w:pPr>
      <w:r w:rsidRPr="003C013F">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73FBB35B" w14:textId="77777777" w:rsidR="00F66BEB" w:rsidRPr="00023E74" w:rsidRDefault="00F66BEB" w:rsidP="00F66BEB">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1A1C9FC6" w14:textId="77777777" w:rsidR="00F66BEB" w:rsidRPr="00023E74" w:rsidRDefault="00F66BEB" w:rsidP="00F66BEB">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72A3031" w14:textId="77777777" w:rsidR="00F66BEB" w:rsidRPr="00023E74" w:rsidRDefault="00F66BEB" w:rsidP="00F66BEB">
      <w:pPr>
        <w:tabs>
          <w:tab w:val="left" w:pos="0"/>
        </w:tabs>
        <w:ind w:firstLine="680"/>
        <w:jc w:val="both"/>
        <w:rPr>
          <w:sz w:val="28"/>
          <w:szCs w:val="28"/>
          <w:lang w:val="uk-UA"/>
        </w:rPr>
      </w:pPr>
      <w:r>
        <w:rPr>
          <w:sz w:val="28"/>
          <w:szCs w:val="28"/>
          <w:lang w:val="uk-UA"/>
        </w:rPr>
        <w:t>3</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0887A9A9" w14:textId="77777777" w:rsidR="00F66BEB" w:rsidRDefault="00F66BEB" w:rsidP="00F66BEB">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xml:space="preserve">№ 384/6600 «Про затвердження </w:t>
      </w:r>
      <w:r w:rsidRPr="00023E74">
        <w:rPr>
          <w:sz w:val="28"/>
          <w:szCs w:val="28"/>
          <w:lang w:val="uk-UA"/>
        </w:rPr>
        <w:lastRenderedPageBreak/>
        <w:t>Порядку видалення зелених насаджень на території міста Києва» (із змінами і доповненнями).</w:t>
      </w:r>
    </w:p>
    <w:p w14:paraId="57847469" w14:textId="77777777" w:rsidR="00F66BEB" w:rsidRDefault="00F66BEB" w:rsidP="00F66BEB">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7</w:t>
      </w:r>
      <w:r w:rsidRPr="00023E74">
        <w:rPr>
          <w:sz w:val="28"/>
          <w:szCs w:val="28"/>
          <w:lang w:val="uk-UA"/>
        </w:rPr>
        <w:t xml:space="preserve">. У разі необхідності проведення реконструкції чи нового будівництва, питання оформлення дозвільної та </w:t>
      </w:r>
      <w:proofErr w:type="spellStart"/>
      <w:r w:rsidRPr="00023E74">
        <w:rPr>
          <w:sz w:val="28"/>
          <w:szCs w:val="28"/>
          <w:lang w:val="uk-UA"/>
        </w:rPr>
        <w:t>проєктної</w:t>
      </w:r>
      <w:proofErr w:type="spellEnd"/>
      <w:r w:rsidRPr="00023E74">
        <w:rPr>
          <w:sz w:val="28"/>
          <w:szCs w:val="28"/>
          <w:lang w:val="uk-UA"/>
        </w:rPr>
        <w:t xml:space="preserve"> документації вирішувати в порядку, визначеному законодавством України.</w:t>
      </w:r>
    </w:p>
    <w:p w14:paraId="0F72CCF2" w14:textId="77777777" w:rsidR="00F66BEB" w:rsidRPr="00023E74" w:rsidRDefault="00F66BEB" w:rsidP="00F66BEB">
      <w:pPr>
        <w:tabs>
          <w:tab w:val="left" w:pos="0"/>
        </w:tabs>
        <w:ind w:firstLine="680"/>
        <w:jc w:val="both"/>
        <w:rPr>
          <w:sz w:val="28"/>
          <w:szCs w:val="28"/>
          <w:lang w:val="uk-UA"/>
        </w:rPr>
      </w:pPr>
      <w:r>
        <w:rPr>
          <w:sz w:val="28"/>
          <w:szCs w:val="28"/>
          <w:lang w:val="uk-UA"/>
        </w:rPr>
        <w:t>4</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1CCE830" w14:textId="54D24612" w:rsidR="002F760B" w:rsidRDefault="00F66BEB" w:rsidP="00F66BEB">
      <w:pPr>
        <w:ind w:firstLine="720"/>
        <w:jc w:val="both"/>
        <w:rPr>
          <w:sz w:val="28"/>
          <w:szCs w:val="28"/>
          <w:lang w:val="uk-UA"/>
        </w:rPr>
      </w:pPr>
      <w:r>
        <w:rPr>
          <w:sz w:val="28"/>
          <w:szCs w:val="28"/>
          <w:lang w:val="uk-UA"/>
        </w:rPr>
        <w:t>5</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r w:rsidR="002F760B">
        <w:rPr>
          <w:sz w:val="28"/>
          <w:szCs w:val="28"/>
          <w:lang w:val="uk-UA"/>
        </w:rPr>
        <w:t>.</w:t>
      </w:r>
    </w:p>
    <w:p w14:paraId="21D700D3" w14:textId="77777777" w:rsidR="00F66BEB" w:rsidRDefault="00F66BEB" w:rsidP="00F66BEB">
      <w:pPr>
        <w:ind w:firstLine="720"/>
        <w:jc w:val="both"/>
        <w:rPr>
          <w:sz w:val="28"/>
          <w:szCs w:val="28"/>
          <w:lang w:val="uk-UA"/>
        </w:rPr>
      </w:pP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proofErr w:type="spellStart"/>
            <w:r w:rsidRPr="009B2859">
              <w:rPr>
                <w:rStyle w:val="af0"/>
                <w:b w:val="0"/>
                <w:sz w:val="28"/>
                <w:szCs w:val="28"/>
              </w:rPr>
              <w:t>Дмитро</w:t>
            </w:r>
            <w:proofErr w:type="spellEnd"/>
            <w:r w:rsidRPr="009B2859">
              <w:rPr>
                <w:rStyle w:val="af0"/>
                <w:b w:val="0"/>
                <w:sz w:val="28"/>
                <w:szCs w:val="28"/>
              </w:rPr>
              <w:t xml:space="preserve">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tbl>
      <w:tblPr>
        <w:tblStyle w:val="af3"/>
        <w:tblW w:w="102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8"/>
        <w:gridCol w:w="560"/>
      </w:tblGrid>
      <w:tr w:rsidR="00F66BEB" w14:paraId="37D73157" w14:textId="77777777" w:rsidTr="00A258CC">
        <w:trPr>
          <w:trHeight w:val="1342"/>
        </w:trPr>
        <w:tc>
          <w:tcPr>
            <w:tcW w:w="5812" w:type="dxa"/>
          </w:tcPr>
          <w:p w14:paraId="622519A1" w14:textId="77777777" w:rsidR="00F66BEB" w:rsidRDefault="00F66BEB" w:rsidP="00A258CC">
            <w:pPr>
              <w:jc w:val="both"/>
              <w:rPr>
                <w:sz w:val="28"/>
                <w:szCs w:val="28"/>
                <w:lang w:val="uk-UA" w:eastAsia="uk-UA"/>
              </w:rPr>
            </w:pPr>
          </w:p>
          <w:p w14:paraId="44551E2A" w14:textId="77777777" w:rsidR="00F66BEB" w:rsidRDefault="00F66BEB" w:rsidP="00A258CC">
            <w:pPr>
              <w:jc w:val="both"/>
              <w:rPr>
                <w:sz w:val="28"/>
                <w:szCs w:val="28"/>
                <w:lang w:val="uk-UA" w:eastAsia="uk-UA"/>
              </w:rPr>
            </w:pPr>
          </w:p>
          <w:p w14:paraId="10730196" w14:textId="77777777" w:rsidR="00F66BEB" w:rsidRDefault="00F66BEB" w:rsidP="00A258CC">
            <w:pPr>
              <w:rPr>
                <w:sz w:val="28"/>
                <w:szCs w:val="28"/>
                <w:lang w:val="uk-UA" w:eastAsia="uk-UA"/>
              </w:rPr>
            </w:pPr>
            <w:r>
              <w:rPr>
                <w:sz w:val="28"/>
                <w:szCs w:val="28"/>
                <w:lang w:val="uk-UA" w:eastAsia="uk-UA"/>
              </w:rPr>
              <w:t xml:space="preserve">Постійна комісія Київської міської ради </w:t>
            </w:r>
          </w:p>
          <w:p w14:paraId="2710802E" w14:textId="77777777" w:rsidR="00F66BEB" w:rsidRDefault="00F66BEB" w:rsidP="00A258CC">
            <w:pPr>
              <w:tabs>
                <w:tab w:val="left" w:pos="0"/>
                <w:tab w:val="left" w:pos="1134"/>
              </w:tabs>
              <w:rPr>
                <w:sz w:val="28"/>
                <w:szCs w:val="28"/>
                <w:lang w:val="uk-UA" w:eastAsia="uk-UA"/>
              </w:rPr>
            </w:pPr>
            <w:r>
              <w:rPr>
                <w:sz w:val="28"/>
                <w:szCs w:val="28"/>
                <w:lang w:val="uk-UA" w:eastAsia="uk-UA"/>
              </w:rPr>
              <w:t>з питань житлово-комунального господарства та паливно-енергетичного комплексу</w:t>
            </w:r>
          </w:p>
        </w:tc>
        <w:tc>
          <w:tcPr>
            <w:tcW w:w="4388" w:type="dxa"/>
            <w:gridSpan w:val="2"/>
          </w:tcPr>
          <w:p w14:paraId="3F123064" w14:textId="77777777" w:rsidR="00F66BEB" w:rsidRDefault="00F66BEB" w:rsidP="00A258CC">
            <w:pPr>
              <w:jc w:val="both"/>
              <w:rPr>
                <w:sz w:val="28"/>
                <w:szCs w:val="28"/>
                <w:lang w:val="uk-UA" w:eastAsia="uk-UA"/>
              </w:rPr>
            </w:pPr>
          </w:p>
        </w:tc>
      </w:tr>
      <w:tr w:rsidR="00F66BEB" w14:paraId="245CD6D3" w14:textId="77777777" w:rsidTr="00A258CC">
        <w:trPr>
          <w:gridAfter w:val="1"/>
          <w:wAfter w:w="560" w:type="dxa"/>
          <w:trHeight w:val="283"/>
        </w:trPr>
        <w:tc>
          <w:tcPr>
            <w:tcW w:w="5812" w:type="dxa"/>
          </w:tcPr>
          <w:p w14:paraId="558C953F" w14:textId="77777777" w:rsidR="00F66BEB" w:rsidRDefault="00F66BEB" w:rsidP="00A258CC">
            <w:pPr>
              <w:jc w:val="both"/>
              <w:rPr>
                <w:sz w:val="28"/>
                <w:szCs w:val="28"/>
                <w:lang w:val="uk-UA" w:eastAsia="uk-UA"/>
              </w:rPr>
            </w:pPr>
          </w:p>
          <w:p w14:paraId="0D466609" w14:textId="77777777" w:rsidR="00F66BEB" w:rsidRDefault="00F66BEB" w:rsidP="00A258CC">
            <w:pPr>
              <w:jc w:val="both"/>
              <w:rPr>
                <w:sz w:val="28"/>
                <w:szCs w:val="28"/>
                <w:lang w:val="uk-UA" w:eastAsia="uk-UA"/>
              </w:rPr>
            </w:pPr>
            <w:r>
              <w:rPr>
                <w:sz w:val="28"/>
                <w:szCs w:val="28"/>
                <w:lang w:val="uk-UA" w:eastAsia="uk-UA"/>
              </w:rPr>
              <w:t>Голова</w:t>
            </w:r>
          </w:p>
        </w:tc>
        <w:tc>
          <w:tcPr>
            <w:tcW w:w="3828" w:type="dxa"/>
          </w:tcPr>
          <w:p w14:paraId="60C51A12" w14:textId="77777777" w:rsidR="00F66BEB" w:rsidRDefault="00F66BEB" w:rsidP="00A258CC">
            <w:pPr>
              <w:jc w:val="right"/>
              <w:rPr>
                <w:rStyle w:val="af0"/>
                <w:b w:val="0"/>
              </w:rPr>
            </w:pPr>
          </w:p>
          <w:p w14:paraId="0486043A" w14:textId="77777777" w:rsidR="00F66BEB" w:rsidRDefault="00F66BEB" w:rsidP="00A258CC">
            <w:pPr>
              <w:jc w:val="right"/>
              <w:rPr>
                <w:b/>
              </w:rPr>
            </w:pPr>
            <w:r>
              <w:rPr>
                <w:rStyle w:val="af0"/>
                <w:b w:val="0"/>
                <w:sz w:val="28"/>
                <w:szCs w:val="28"/>
                <w:lang w:val="uk-UA" w:eastAsia="uk-UA"/>
              </w:rPr>
              <w:t>Олександр БРОДСЬКИЙ</w:t>
            </w:r>
          </w:p>
        </w:tc>
      </w:tr>
      <w:tr w:rsidR="00F66BEB" w14:paraId="704F3BC3" w14:textId="77777777" w:rsidTr="00A258CC">
        <w:trPr>
          <w:gridAfter w:val="1"/>
          <w:wAfter w:w="560" w:type="dxa"/>
        </w:trPr>
        <w:tc>
          <w:tcPr>
            <w:tcW w:w="5812" w:type="dxa"/>
          </w:tcPr>
          <w:p w14:paraId="18AA2782" w14:textId="77777777" w:rsidR="00F66BEB" w:rsidRDefault="00F66BEB" w:rsidP="00A258CC">
            <w:pPr>
              <w:jc w:val="both"/>
              <w:rPr>
                <w:sz w:val="28"/>
                <w:szCs w:val="28"/>
                <w:lang w:val="uk-UA" w:eastAsia="uk-UA"/>
              </w:rPr>
            </w:pPr>
          </w:p>
          <w:p w14:paraId="52BA6B4F" w14:textId="77777777" w:rsidR="00F66BEB" w:rsidRDefault="00F66BEB" w:rsidP="00A258CC">
            <w:pPr>
              <w:jc w:val="both"/>
              <w:rPr>
                <w:sz w:val="28"/>
                <w:szCs w:val="28"/>
                <w:lang w:val="uk-UA" w:eastAsia="uk-UA"/>
              </w:rPr>
            </w:pPr>
            <w:r>
              <w:rPr>
                <w:sz w:val="28"/>
                <w:szCs w:val="28"/>
                <w:lang w:val="uk-UA" w:eastAsia="uk-UA"/>
              </w:rPr>
              <w:t>Секретар</w:t>
            </w:r>
          </w:p>
        </w:tc>
        <w:tc>
          <w:tcPr>
            <w:tcW w:w="3828" w:type="dxa"/>
          </w:tcPr>
          <w:p w14:paraId="54B3A1AC" w14:textId="77777777" w:rsidR="00F66BEB" w:rsidRDefault="00F66BEB" w:rsidP="00A258CC">
            <w:pPr>
              <w:tabs>
                <w:tab w:val="left" w:pos="6379"/>
              </w:tabs>
              <w:jc w:val="right"/>
              <w:rPr>
                <w:rStyle w:val="af0"/>
                <w:b w:val="0"/>
              </w:rPr>
            </w:pPr>
          </w:p>
          <w:p w14:paraId="0A4E1383" w14:textId="77777777" w:rsidR="00F66BEB" w:rsidRDefault="00F66BEB" w:rsidP="00A258CC">
            <w:pPr>
              <w:tabs>
                <w:tab w:val="left" w:pos="6379"/>
              </w:tabs>
              <w:jc w:val="right"/>
              <w:rPr>
                <w:b/>
              </w:rPr>
            </w:pPr>
            <w:r>
              <w:rPr>
                <w:rStyle w:val="af0"/>
                <w:b w:val="0"/>
                <w:sz w:val="28"/>
                <w:szCs w:val="28"/>
                <w:lang w:val="uk-UA" w:eastAsia="uk-UA"/>
              </w:rPr>
              <w:t>Тарас КРИВОРУЧКО</w:t>
            </w:r>
          </w:p>
        </w:tc>
      </w:tr>
    </w:tbl>
    <w:p w14:paraId="2132B0F7" w14:textId="5550DF3A" w:rsidR="005037E2" w:rsidRPr="00431509" w:rsidRDefault="00431509" w:rsidP="008A7943">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5ACD5" w14:textId="77777777" w:rsidR="00741FD7" w:rsidRDefault="00741FD7">
      <w:r>
        <w:separator/>
      </w:r>
    </w:p>
  </w:endnote>
  <w:endnote w:type="continuationSeparator" w:id="0">
    <w:p w14:paraId="140572C3" w14:textId="77777777" w:rsidR="00741FD7" w:rsidRDefault="0074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E17FD" w14:textId="77777777" w:rsidR="00741FD7" w:rsidRDefault="00741FD7">
      <w:r>
        <w:separator/>
      </w:r>
    </w:p>
  </w:footnote>
  <w:footnote w:type="continuationSeparator" w:id="0">
    <w:p w14:paraId="543EC2DA" w14:textId="77777777" w:rsidR="00741FD7" w:rsidRDefault="00741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1FD7"/>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A7943"/>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A72"/>
    <w:rsid w:val="00AF0E16"/>
    <w:rsid w:val="00B05F3F"/>
    <w:rsid w:val="00B07F38"/>
    <w:rsid w:val="00B138A0"/>
    <w:rsid w:val="00B2638A"/>
    <w:rsid w:val="00B302F2"/>
    <w:rsid w:val="00B41C2D"/>
    <w:rsid w:val="00B4359B"/>
    <w:rsid w:val="00B43A7D"/>
    <w:rsid w:val="00B46671"/>
    <w:rsid w:val="00B479F2"/>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167ED"/>
    <w:rsid w:val="00F2014A"/>
    <w:rsid w:val="00F22BE9"/>
    <w:rsid w:val="00F54DF9"/>
    <w:rsid w:val="00F55E07"/>
    <w:rsid w:val="00F6318B"/>
    <w:rsid w:val="00F66BE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8A7943"/>
    <w:pPr>
      <w:tabs>
        <w:tab w:val="center" w:pos="4677"/>
        <w:tab w:val="right" w:pos="9355"/>
      </w:tabs>
    </w:pPr>
  </w:style>
  <w:style w:type="character" w:customStyle="1" w:styleId="af5">
    <w:name w:val="Нижній колонтитул Знак"/>
    <w:basedOn w:val="a0"/>
    <w:link w:val="af4"/>
    <w:rsid w:val="008A7943"/>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878</Words>
  <Characters>5010</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5877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Абреу Олена Миколаївна</cp:lastModifiedBy>
  <cp:revision>4</cp:revision>
  <cp:lastPrinted>2021-11-24T13:25:00Z</cp:lastPrinted>
  <dcterms:created xsi:type="dcterms:W3CDTF">2023-02-15T09:38:00Z</dcterms:created>
  <dcterms:modified xsi:type="dcterms:W3CDTF">2023-02-23T13:10:00Z</dcterms:modified>
</cp:coreProperties>
</file>