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690B78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498445684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498445684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690B78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690B7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690B78">
        <w:rPr>
          <w:b/>
          <w:bCs/>
          <w:sz w:val="24"/>
          <w:szCs w:val="24"/>
          <w:lang w:val="ru-RU"/>
        </w:rPr>
        <w:t xml:space="preserve">№ </w:t>
      </w:r>
      <w:r w:rsidR="004D1119" w:rsidRPr="00690B78">
        <w:rPr>
          <w:b/>
          <w:bCs/>
          <w:sz w:val="24"/>
          <w:szCs w:val="24"/>
          <w:lang w:val="ru-RU"/>
        </w:rPr>
        <w:t xml:space="preserve">ПЗН-72944 </w:t>
      </w:r>
      <w:proofErr w:type="spellStart"/>
      <w:r w:rsidR="004D1119" w:rsidRPr="00690B78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690B78">
        <w:rPr>
          <w:b/>
          <w:bCs/>
          <w:sz w:val="24"/>
          <w:szCs w:val="24"/>
          <w:lang w:val="ru-RU"/>
        </w:rPr>
        <w:t xml:space="preserve"> 24.10.2024</w:t>
      </w:r>
    </w:p>
    <w:p w14:paraId="781D03CD" w14:textId="77777777" w:rsidR="004D1119" w:rsidRPr="00690B78" w:rsidRDefault="004D1119" w:rsidP="000973D5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  <w:lang w:val="ru-RU"/>
        </w:rPr>
      </w:pPr>
      <w:r w:rsidRPr="00690B78">
        <w:rPr>
          <w:sz w:val="24"/>
          <w:szCs w:val="24"/>
          <w:lang w:val="ru-RU"/>
        </w:rPr>
        <w:t xml:space="preserve">до </w:t>
      </w:r>
      <w:proofErr w:type="spellStart"/>
      <w:r w:rsidRPr="00690B78">
        <w:rPr>
          <w:sz w:val="24"/>
          <w:szCs w:val="24"/>
          <w:lang w:val="ru-RU"/>
        </w:rPr>
        <w:t>проєкту</w:t>
      </w:r>
      <w:proofErr w:type="spellEnd"/>
      <w:r w:rsidRPr="00690B78">
        <w:rPr>
          <w:sz w:val="24"/>
          <w:szCs w:val="24"/>
          <w:lang w:val="ru-RU"/>
        </w:rPr>
        <w:t xml:space="preserve"> </w:t>
      </w:r>
      <w:proofErr w:type="spellStart"/>
      <w:r w:rsidRPr="00690B78">
        <w:rPr>
          <w:sz w:val="24"/>
          <w:szCs w:val="24"/>
          <w:lang w:val="ru-RU"/>
        </w:rPr>
        <w:t>рішення</w:t>
      </w:r>
      <w:proofErr w:type="spellEnd"/>
      <w:r w:rsidRPr="00690B78">
        <w:rPr>
          <w:sz w:val="24"/>
          <w:szCs w:val="24"/>
          <w:lang w:val="ru-RU"/>
        </w:rPr>
        <w:t xml:space="preserve"> </w:t>
      </w:r>
      <w:proofErr w:type="spellStart"/>
      <w:r w:rsidRPr="00690B78">
        <w:rPr>
          <w:sz w:val="24"/>
          <w:szCs w:val="24"/>
          <w:lang w:val="ru-RU"/>
        </w:rPr>
        <w:t>Київської</w:t>
      </w:r>
      <w:proofErr w:type="spellEnd"/>
      <w:r w:rsidRPr="00690B78">
        <w:rPr>
          <w:sz w:val="24"/>
          <w:szCs w:val="24"/>
          <w:lang w:val="ru-RU"/>
        </w:rPr>
        <w:t xml:space="preserve"> </w:t>
      </w:r>
      <w:proofErr w:type="spellStart"/>
      <w:r w:rsidRPr="00690B78">
        <w:rPr>
          <w:sz w:val="24"/>
          <w:szCs w:val="24"/>
          <w:lang w:val="ru-RU"/>
        </w:rPr>
        <w:t>міської</w:t>
      </w:r>
      <w:proofErr w:type="spellEnd"/>
      <w:r w:rsidRPr="00690B78">
        <w:rPr>
          <w:sz w:val="24"/>
          <w:szCs w:val="24"/>
          <w:lang w:val="ru-RU"/>
        </w:rPr>
        <w:t xml:space="preserve"> ради:</w:t>
      </w:r>
    </w:p>
    <w:p w14:paraId="69E0EA30" w14:textId="33D2621D" w:rsidR="004D1119" w:rsidRDefault="004D1119" w:rsidP="000973D5">
      <w:pPr>
        <w:pStyle w:val="a7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передачу ТОВАРИСТВУ З ОБМЕЖЕНОЮ ВІДПОВІДАЛЬНІСТЮ «ЛІКСІ»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об'єктів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туристичної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закладів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громадського</w:t>
      </w:r>
      <w:proofErr w:type="spellEnd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46ED4" w:rsidRPr="00046ED4">
        <w:rPr>
          <w:rFonts w:eastAsia="Georgia"/>
          <w:b/>
          <w:i/>
          <w:iCs/>
          <w:sz w:val="24"/>
          <w:szCs w:val="24"/>
          <w:lang w:val="ru-RU"/>
        </w:rPr>
        <w:t>харчування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0973D5">
        <w:rPr>
          <w:rFonts w:eastAsia="Georgia"/>
          <w:b/>
          <w:i/>
          <w:iCs/>
          <w:sz w:val="24"/>
          <w:szCs w:val="24"/>
          <w:lang w:val="ru-RU"/>
        </w:rPr>
        <w:br/>
      </w:r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. Гончара Олеся, 4/27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літ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. Г </w:t>
      </w:r>
      <w:r w:rsidR="000973D5">
        <w:rPr>
          <w:rFonts w:eastAsia="Georgia"/>
          <w:b/>
          <w:i/>
          <w:iCs/>
          <w:sz w:val="24"/>
          <w:szCs w:val="24"/>
          <w:lang w:val="ru-RU"/>
        </w:rPr>
        <w:br/>
      </w:r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0973D5" w:rsidRPr="000973D5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5CD5475F" w14:textId="77777777" w:rsidR="000973D5" w:rsidRPr="004D1119" w:rsidRDefault="000973D5" w:rsidP="00A0514F">
      <w:pPr>
        <w:pStyle w:val="a7"/>
        <w:shd w:val="clear" w:color="auto" w:fill="auto"/>
        <w:spacing w:after="0"/>
        <w:ind w:right="2739"/>
        <w:jc w:val="center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0514F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690B78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A0514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690B78" w:rsidRDefault="004D1119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690B78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«ЛІКСІ»</w:t>
            </w:r>
          </w:p>
        </w:tc>
      </w:tr>
      <w:tr w:rsidR="004D1119" w:rsidRPr="004A5DBD" w14:paraId="6A6CF238" w14:textId="77777777" w:rsidTr="00A0514F">
        <w:trPr>
          <w:cantSplit/>
          <w:trHeight w:hRule="exact" w:val="1469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A0514F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90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77777777" w:rsidR="004D1119" w:rsidRPr="004A5DBD" w:rsidRDefault="006E10B3" w:rsidP="00A0514F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4D1119" w:rsidRPr="004D1119" w:rsidRDefault="004D1119" w:rsidP="00A0514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549F5CA4" w14:textId="77777777" w:rsidR="004D1119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Литвиненко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Віталій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Володимирович</w:t>
            </w:r>
            <w:proofErr w:type="spellEnd"/>
          </w:p>
          <w:p w14:paraId="3BD82D4D" w14:textId="570CED27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Рибалка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Маршала</w:t>
            </w:r>
          </w:p>
          <w:p w14:paraId="377B0E18" w14:textId="3D2BF39D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5A2DA134" w14:textId="0E53B0A4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Подолюх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Роман Ярославович</w:t>
            </w:r>
          </w:p>
          <w:p w14:paraId="13ACE229" w14:textId="6AB29E31" w:rsidR="00A0514F" w:rsidRPr="00A43048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Олешківська</w:t>
            </w:r>
            <w:proofErr w:type="spellEnd"/>
          </w:p>
        </w:tc>
      </w:tr>
      <w:tr w:rsidR="004D1119" w:rsidRPr="00854FAD" w14:paraId="2EEB9864" w14:textId="77777777" w:rsidTr="00A0514F">
        <w:trPr>
          <w:cantSplit/>
          <w:trHeight w:hRule="exact" w:val="1432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A0514F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5167426F" w:rsidR="004D1119" w:rsidRPr="004D1119" w:rsidRDefault="006E10B3" w:rsidP="00A0514F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26AB89E5" w14:textId="77777777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Литвиненко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Віталій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Володимирович</w:t>
            </w:r>
            <w:proofErr w:type="spellEnd"/>
          </w:p>
          <w:p w14:paraId="1DD5EA90" w14:textId="77777777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Рибалка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Маршала</w:t>
            </w:r>
          </w:p>
          <w:p w14:paraId="32945E05" w14:textId="77777777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00E7B924" w14:textId="77777777" w:rsidR="00A0514F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Подолюх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Роман Ярославович</w:t>
            </w:r>
          </w:p>
          <w:p w14:paraId="395C8F20" w14:textId="1FA1F458" w:rsidR="004D1119" w:rsidRPr="00A43048" w:rsidRDefault="00A0514F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Олешківська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A0514F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0514F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0514F">
              <w:rPr>
                <w:i/>
                <w:sz w:val="24"/>
                <w:szCs w:val="24"/>
              </w:rPr>
              <w:t>від</w:t>
            </w:r>
            <w:proofErr w:type="spellEnd"/>
            <w:r w:rsidRPr="00A0514F">
              <w:rPr>
                <w:i/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17.10.2024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498445684</w:t>
            </w:r>
          </w:p>
        </w:tc>
      </w:tr>
    </w:tbl>
    <w:p w14:paraId="3B73DBB6" w14:textId="77777777" w:rsidR="004D1119" w:rsidRPr="004D1119" w:rsidRDefault="004D1119" w:rsidP="00A0514F">
      <w:pPr>
        <w:pStyle w:val="1"/>
        <w:shd w:val="clear" w:color="auto" w:fill="auto"/>
        <w:tabs>
          <w:tab w:val="left" w:pos="668"/>
        </w:tabs>
        <w:spacing w:after="0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A0514F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690B78">
        <w:rPr>
          <w:b/>
          <w:bCs/>
          <w:sz w:val="24"/>
          <w:szCs w:val="24"/>
          <w:lang w:val="ru-RU"/>
        </w:rPr>
        <w:t>8000000000:91:171:0005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A0514F">
        <w:trPr>
          <w:trHeight w:val="29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2978" w14:textId="77777777" w:rsidR="004D1119" w:rsidRDefault="006E10B3" w:rsidP="00A0514F">
            <w:pPr>
              <w:pStyle w:val="1"/>
              <w:shd w:val="clear" w:color="auto" w:fill="auto"/>
              <w:spacing w:after="0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A24E" w14:textId="35152CD5" w:rsidR="004D1119" w:rsidRPr="00A43048" w:rsidRDefault="004D1119" w:rsidP="00A0514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Шевченківський, вул. Гончара Олеся, 4/27</w:t>
            </w:r>
            <w:r w:rsidR="00A0514F">
              <w:rPr>
                <w:i/>
                <w:iCs/>
                <w:sz w:val="24"/>
                <w:szCs w:val="24"/>
              </w:rPr>
              <w:t>,</w:t>
            </w:r>
            <w:r w:rsidRPr="00A43048">
              <w:rPr>
                <w:i/>
                <w:iCs/>
                <w:sz w:val="24"/>
                <w:szCs w:val="24"/>
              </w:rPr>
              <w:t xml:space="preserve"> </w:t>
            </w:r>
            <w:r w:rsidR="00A0514F" w:rsidRPr="00A0514F">
              <w:rPr>
                <w:i/>
                <w:iCs/>
                <w:sz w:val="24"/>
                <w:szCs w:val="24"/>
              </w:rPr>
              <w:t>літ. Г</w:t>
            </w:r>
          </w:p>
        </w:tc>
      </w:tr>
      <w:tr w:rsidR="004D1119" w14:paraId="3D5F4781" w14:textId="77777777" w:rsidTr="00A0514F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B03C" w14:textId="77777777" w:rsidR="004D1119" w:rsidRDefault="006E10B3" w:rsidP="00A0514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B679" w14:textId="77777777" w:rsidR="004D1119" w:rsidRPr="00A43048" w:rsidRDefault="004D1119" w:rsidP="00A0514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0,0326 га</w:t>
            </w:r>
          </w:p>
        </w:tc>
      </w:tr>
      <w:tr w:rsidR="004D1119" w:rsidRPr="00690B78" w14:paraId="0C66F18A" w14:textId="77777777" w:rsidTr="00A0514F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E9F9" w14:textId="77777777" w:rsidR="006E10B3" w:rsidRDefault="006E10B3" w:rsidP="00A0514F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A0514F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A229" w14:textId="144B8D25" w:rsidR="004D1119" w:rsidRPr="00A43048" w:rsidRDefault="006E106A" w:rsidP="00690B78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A0514F">
              <w:rPr>
                <w:i/>
                <w:sz w:val="24"/>
                <w:szCs w:val="24"/>
              </w:rPr>
              <w:t xml:space="preserve"> на </w:t>
            </w:r>
            <w:r w:rsidR="00690B78" w:rsidRPr="00690B78">
              <w:rPr>
                <w:i/>
                <w:sz w:val="24"/>
                <w:szCs w:val="24"/>
                <w:lang w:val="ru-RU"/>
              </w:rPr>
              <w:t xml:space="preserve">10 </w:t>
            </w:r>
            <w:bookmarkStart w:id="0" w:name="_GoBack"/>
            <w:bookmarkEnd w:id="0"/>
            <w:r w:rsidR="00A0514F">
              <w:rPr>
                <w:i/>
                <w:sz w:val="24"/>
                <w:szCs w:val="24"/>
              </w:rPr>
              <w:t>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690B78" w14:paraId="00AEDE2C" w14:textId="77777777" w:rsidTr="00990CF4">
        <w:trPr>
          <w:trHeight w:val="38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B4F" w14:textId="3AE77763" w:rsidR="004D1119" w:rsidRDefault="006E10B3" w:rsidP="00A0514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2E08" w14:textId="62D6A01A" w:rsidR="004D1119" w:rsidRPr="00A43048" w:rsidRDefault="00CD0A63" w:rsidP="00A0514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A0514F">
        <w:trPr>
          <w:trHeight w:val="65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BCD" w14:textId="77777777" w:rsidR="004D1119" w:rsidRPr="002C1187" w:rsidRDefault="006E10B3" w:rsidP="00A0514F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  <w:lang w:val="en-US"/>
              </w:rPr>
            </w:pPr>
            <w:r w:rsidRPr="00690B78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C4E" w14:textId="2E9F77EC" w:rsidR="00A21758" w:rsidRPr="00A43048" w:rsidRDefault="00C675D8" w:rsidP="00A0514F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03.08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  <w:r w:rsidR="00046ED4">
              <w:rPr>
                <w:rStyle w:val="a9"/>
                <w:sz w:val="24"/>
                <w:szCs w:val="24"/>
              </w:rPr>
              <w:t xml:space="preserve"> (</w:t>
            </w:r>
            <w:r w:rsidR="00046ED4" w:rsidRPr="00046ED4">
              <w:rPr>
                <w:rStyle w:val="a9"/>
                <w:sz w:val="24"/>
                <w:szCs w:val="24"/>
              </w:rPr>
              <w:t>для експлуатації та обслуговування об'єктів туристичної інфраструктури та закладів громадського харчування</w:t>
            </w:r>
            <w:r w:rsidR="00046ED4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14:paraId="2E2CBEBD" w14:textId="77777777" w:rsidTr="00A0514F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F358" w14:textId="03E38F37" w:rsidR="00221619" w:rsidRPr="00221619" w:rsidRDefault="00221619" w:rsidP="00A0514F">
            <w:pPr>
              <w:pStyle w:val="1"/>
              <w:shd w:val="clear" w:color="auto" w:fill="auto"/>
              <w:spacing w:after="0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A0514F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A5E" w14:textId="2490C0EF" w:rsidR="00E93A88" w:rsidRPr="00A43048" w:rsidRDefault="000E155D" w:rsidP="00A0514F">
            <w:pPr>
              <w:pStyle w:val="a5"/>
              <w:shd w:val="clear" w:color="auto" w:fill="auto"/>
              <w:spacing w:line="240" w:lineRule="auto"/>
              <w:rPr>
                <w:rStyle w:val="a9"/>
                <w:sz w:val="24"/>
                <w:szCs w:val="24"/>
              </w:rPr>
            </w:pPr>
            <w:r w:rsidRPr="000E155D">
              <w:rPr>
                <w:rStyle w:val="a9"/>
                <w:sz w:val="24"/>
                <w:szCs w:val="24"/>
              </w:rPr>
              <w:t>6 804 108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 w:rsidRPr="000E155D">
              <w:rPr>
                <w:rStyle w:val="a9"/>
                <w:sz w:val="24"/>
                <w:szCs w:val="24"/>
              </w:rPr>
              <w:t>69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690B78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A0514F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A0514F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7124A622" w14:textId="77777777" w:rsidR="00A0514F" w:rsidRDefault="00A0514F" w:rsidP="00A0514F">
      <w:pPr>
        <w:pStyle w:val="1"/>
        <w:shd w:val="clear" w:color="auto" w:fill="auto"/>
        <w:tabs>
          <w:tab w:val="left" w:pos="671"/>
        </w:tabs>
        <w:spacing w:after="0"/>
        <w:ind w:left="400" w:firstLine="0"/>
        <w:rPr>
          <w:sz w:val="24"/>
          <w:szCs w:val="24"/>
          <w:lang w:val="ru-RU"/>
        </w:rPr>
      </w:pPr>
    </w:p>
    <w:p w14:paraId="26065493" w14:textId="77777777" w:rsidR="00A0514F" w:rsidRPr="00DD3D55" w:rsidRDefault="00A0514F" w:rsidP="00A0514F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5BE7465F" w14:textId="4EE16C03" w:rsidR="00A0514F" w:rsidRDefault="00A0514F" w:rsidP="00A0514F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631FA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24</w:t>
      </w:r>
      <w:r w:rsidRPr="005A29A5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10</w:t>
      </w:r>
      <w:r w:rsidRPr="005A29A5">
        <w:rPr>
          <w:sz w:val="24"/>
          <w:szCs w:val="24"/>
          <w:lang w:val="uk-UA"/>
        </w:rPr>
        <w:t>.2024</w:t>
      </w:r>
      <w:r w:rsidRPr="00631FAA">
        <w:rPr>
          <w:sz w:val="24"/>
          <w:szCs w:val="24"/>
          <w:lang w:val="uk-UA"/>
        </w:rPr>
        <w:t xml:space="preserve"> № </w:t>
      </w:r>
      <w:r w:rsidRPr="00A0514F">
        <w:rPr>
          <w:sz w:val="24"/>
          <w:szCs w:val="24"/>
          <w:lang w:val="uk-UA"/>
        </w:rPr>
        <w:t>НВ-0002625812024</w:t>
      </w:r>
      <w:r w:rsidRPr="00DD3D55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D3D55">
        <w:rPr>
          <w:sz w:val="24"/>
          <w:szCs w:val="24"/>
          <w:lang w:val="uk-UA"/>
        </w:rPr>
        <w:t>проєкт</w:t>
      </w:r>
      <w:proofErr w:type="spellEnd"/>
      <w:r w:rsidRPr="00DD3D55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5283827A" w14:textId="31F3538C" w:rsidR="00A0514F" w:rsidRDefault="00A0514F" w:rsidP="00A0514F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5ED8E42B" w14:textId="77777777" w:rsidR="00A0514F" w:rsidRDefault="00A0514F" w:rsidP="00A0514F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1A31659A" w14:textId="77777777" w:rsidR="00A0514F" w:rsidRPr="00DD3D55" w:rsidRDefault="00A0514F" w:rsidP="00A0514F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Мета прийняття рішення.</w:t>
      </w:r>
    </w:p>
    <w:p w14:paraId="74139245" w14:textId="77777777" w:rsidR="00A0514F" w:rsidRDefault="00A0514F" w:rsidP="00A0514F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2DDF4C4A" w14:textId="77777777" w:rsidR="00A0514F" w:rsidRPr="00DD3D55" w:rsidRDefault="00A0514F" w:rsidP="00A0514F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A7E8A06" w14:textId="77777777" w:rsidR="00A0514F" w:rsidRPr="00DD3D55" w:rsidRDefault="00A0514F" w:rsidP="00A0514F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A0514F" w:rsidRPr="00690B78" w14:paraId="769D4538" w14:textId="77777777" w:rsidTr="007C28E5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EB8A" w14:textId="77777777" w:rsidR="00A0514F" w:rsidRPr="00DD3D55" w:rsidRDefault="00A0514F" w:rsidP="007C28E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7A35BB10" w14:textId="77777777" w:rsidR="00A0514F" w:rsidRPr="00DD3D55" w:rsidRDefault="00A0514F" w:rsidP="007C28E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5D39" w14:textId="0E85093D" w:rsidR="00A0514F" w:rsidRPr="00DD3D55" w:rsidRDefault="005B3263" w:rsidP="0021623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 xml:space="preserve">а земельній ділянці розташований громадський будинок з господарськими (допоміжними) будівлями та спорудами (нежитловий будинок) літера «Г» загальною площею 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br/>
              <w:t xml:space="preserve">550,9 </w:t>
            </w:r>
            <w:proofErr w:type="spellStart"/>
            <w:r w:rsidR="000E155D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0E155D">
              <w:rPr>
                <w:rFonts w:ascii="Times New Roman" w:eastAsia="Times New Roman" w:hAnsi="Times New Roman" w:cs="Times New Roman"/>
                <w:i/>
              </w:rPr>
              <w:t xml:space="preserve">. м, який перебуває у власності </w:t>
            </w:r>
            <w:r w:rsidR="00A0514F" w:rsidRPr="00690B78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ТОВАРИСТВ</w:t>
            </w:r>
            <w:r w:rsidR="00A0514F">
              <w:rPr>
                <w:rFonts w:ascii="Times New Roman" w:eastAsia="Times New Roman" w:hAnsi="Times New Roman" w:cs="Times New Roman"/>
                <w:i/>
                <w:iCs/>
              </w:rPr>
              <w:t>А</w:t>
            </w:r>
            <w:r w:rsidR="00A0514F" w:rsidRPr="00690B78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 xml:space="preserve"> З ОБМЕЖЕНОЮ ВІДПОВІДАЛЬНІСТЮ «</w:t>
            </w:r>
            <w:r w:rsidR="000E155D">
              <w:rPr>
                <w:rFonts w:ascii="Times New Roman" w:eastAsia="Times New Roman" w:hAnsi="Times New Roman" w:cs="Times New Roman"/>
                <w:i/>
                <w:iCs/>
              </w:rPr>
              <w:t>ЛІКСІ</w:t>
            </w:r>
            <w:r w:rsidR="00A0514F" w:rsidRPr="00690B78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»</w:t>
            </w:r>
            <w:r w:rsidR="00A0514F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="000E155D">
              <w:rPr>
                <w:rFonts w:ascii="Times New Roman" w:eastAsia="Times New Roman" w:hAnsi="Times New Roman" w:cs="Times New Roman"/>
                <w:i/>
                <w:iCs/>
              </w:rPr>
              <w:t>п</w:t>
            </w:r>
            <w:r w:rsidR="00A0514F" w:rsidRPr="00963597">
              <w:rPr>
                <w:rFonts w:ascii="Times New Roman" w:eastAsia="Times New Roman" w:hAnsi="Times New Roman" w:cs="Times New Roman"/>
                <w:i/>
              </w:rPr>
              <w:t xml:space="preserve">раво власності зареєстровано у Державному реєстрі речових прав на нерухоме майно 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>08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.0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>6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.</w:t>
            </w:r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>202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>3</w:t>
            </w:r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номер </w:t>
            </w:r>
            <w:proofErr w:type="spellStart"/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>відомостей</w:t>
            </w:r>
            <w:proofErr w:type="spellEnd"/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про </w:t>
            </w:r>
            <w:proofErr w:type="spellStart"/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>речове</w:t>
            </w:r>
            <w:proofErr w:type="spellEnd"/>
            <w:r w:rsidR="00A0514F" w:rsidRPr="00690B7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право 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>50586696</w:t>
            </w:r>
            <w:r w:rsidR="00A0514F" w:rsidRPr="00963597">
              <w:rPr>
                <w:rFonts w:ascii="Times New Roman" w:eastAsia="Times New Roman" w:hAnsi="Times New Roman" w:cs="Times New Roman"/>
                <w:i/>
              </w:rPr>
              <w:t>)</w:t>
            </w:r>
            <w:r w:rsidR="00A0514F" w:rsidRPr="00DD3D55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2</w:t>
            </w:r>
            <w:r w:rsidR="000E155D">
              <w:rPr>
                <w:rFonts w:ascii="Times New Roman" w:eastAsia="Times New Roman" w:hAnsi="Times New Roman" w:cs="Times New Roman"/>
                <w:i/>
              </w:rPr>
              <w:t>4</w:t>
            </w:r>
            <w:r w:rsidR="00A0514F" w:rsidRPr="00DD3D55">
              <w:rPr>
                <w:rFonts w:ascii="Times New Roman" w:eastAsia="Times New Roman" w:hAnsi="Times New Roman" w:cs="Times New Roman"/>
                <w:i/>
              </w:rPr>
              <w:t>.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10</w:t>
            </w:r>
            <w:r w:rsidR="00A0514F" w:rsidRPr="00DD3D55">
              <w:rPr>
                <w:rFonts w:ascii="Times New Roman" w:eastAsia="Times New Roman" w:hAnsi="Times New Roman" w:cs="Times New Roman"/>
                <w:i/>
              </w:rPr>
              <w:t>.20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24</w:t>
            </w:r>
            <w:r w:rsidR="00A0514F" w:rsidRPr="00DD3D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№</w:t>
            </w:r>
            <w:r w:rsidR="00A0514F" w:rsidRPr="00DD3D5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E155D" w:rsidRPr="000E155D">
              <w:rPr>
                <w:rFonts w:ascii="Times New Roman" w:eastAsia="Times New Roman" w:hAnsi="Times New Roman" w:cs="Times New Roman"/>
                <w:i/>
              </w:rPr>
              <w:t>400650326</w:t>
            </w:r>
            <w:r w:rsidR="00A0514F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0514F" w:rsidRPr="006360E3" w14:paraId="0DB4C92C" w14:textId="77777777" w:rsidTr="007C28E5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7CBE" w14:textId="77777777" w:rsidR="00A0514F" w:rsidRPr="00DD3D55" w:rsidRDefault="00A0514F" w:rsidP="007C28E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131" w14:textId="77777777" w:rsidR="00A0514F" w:rsidRPr="00B94F49" w:rsidRDefault="00A0514F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A0514F" w:rsidRPr="00690B78" w14:paraId="47CE9ED0" w14:textId="77777777" w:rsidTr="007C28E5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64B0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03A1ADA0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DD3D55">
              <w:rPr>
                <w:i/>
                <w:sz w:val="24"/>
                <w:szCs w:val="24"/>
              </w:rPr>
              <w:t xml:space="preserve">з </w:t>
            </w:r>
          </w:p>
          <w:p w14:paraId="6C8E8600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94A7" w14:textId="23FB7FD0" w:rsidR="00A0514F" w:rsidRPr="003C4573" w:rsidRDefault="00A0514F" w:rsidP="005B3263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Згідно з листом </w:t>
            </w:r>
            <w:r w:rsidRPr="003C4573">
              <w:rPr>
                <w:i/>
                <w:sz w:val="24"/>
                <w:szCs w:val="24"/>
              </w:rPr>
              <w:t>Департамент</w:t>
            </w:r>
            <w:r>
              <w:rPr>
                <w:i/>
                <w:sz w:val="24"/>
                <w:szCs w:val="24"/>
              </w:rPr>
              <w:t>у</w:t>
            </w:r>
            <w:r w:rsidRPr="003C4573">
              <w:rPr>
                <w:i/>
                <w:sz w:val="24"/>
                <w:szCs w:val="24"/>
              </w:rPr>
              <w:t xml:space="preserve"> містобудування та архітектури виконавчого органу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B3263" w:rsidRPr="005B3263">
              <w:rPr>
                <w:i/>
                <w:sz w:val="24"/>
                <w:szCs w:val="24"/>
              </w:rPr>
              <w:t>від 30.09.2024</w:t>
            </w:r>
            <w:r w:rsidR="005B3263">
              <w:rPr>
                <w:i/>
                <w:sz w:val="24"/>
                <w:szCs w:val="24"/>
              </w:rPr>
              <w:t xml:space="preserve"> </w:t>
            </w:r>
            <w:r w:rsidR="005B3263">
              <w:rPr>
                <w:i/>
                <w:sz w:val="24"/>
                <w:szCs w:val="24"/>
              </w:rPr>
              <w:br/>
              <w:t xml:space="preserve">№ </w:t>
            </w:r>
            <w:r w:rsidR="005B3263" w:rsidRPr="005B3263">
              <w:rPr>
                <w:i/>
                <w:sz w:val="24"/>
                <w:szCs w:val="24"/>
              </w:rPr>
              <w:t>055-9858</w:t>
            </w:r>
            <w:r>
              <w:rPr>
                <w:i/>
                <w:sz w:val="24"/>
                <w:szCs w:val="24"/>
              </w:rPr>
              <w:t>, в</w:t>
            </w:r>
            <w:r w:rsidRPr="003C4573">
              <w:rPr>
                <w:i/>
                <w:sz w:val="24"/>
                <w:szCs w:val="24"/>
              </w:rPr>
              <w:t>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Києва та про</w:t>
            </w:r>
            <w:r>
              <w:rPr>
                <w:i/>
                <w:sz w:val="24"/>
                <w:szCs w:val="24"/>
              </w:rPr>
              <w:t>е</w:t>
            </w:r>
            <w:r w:rsidRPr="003C4573">
              <w:rPr>
                <w:i/>
                <w:sz w:val="24"/>
                <w:szCs w:val="24"/>
              </w:rPr>
              <w:t>кту планування його приміської зони на період до 2020 року,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затвердженого рішенням Київської міської ради від 28.03.2002 № 370/1804,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земельна ділянка за функціональним призначенням </w:t>
            </w:r>
            <w:r>
              <w:rPr>
                <w:i/>
                <w:sz w:val="24"/>
                <w:szCs w:val="24"/>
              </w:rPr>
              <w:t xml:space="preserve">належить </w:t>
            </w:r>
            <w:r w:rsidRPr="001E1EE8">
              <w:rPr>
                <w:i/>
                <w:sz w:val="24"/>
                <w:szCs w:val="24"/>
              </w:rPr>
              <w:t xml:space="preserve">до </w:t>
            </w:r>
            <w:r w:rsidR="005B3263">
              <w:rPr>
                <w:i/>
                <w:sz w:val="24"/>
                <w:szCs w:val="24"/>
              </w:rPr>
              <w:t xml:space="preserve">території </w:t>
            </w:r>
            <w:r w:rsidR="005B3263" w:rsidRPr="005B3263">
              <w:rPr>
                <w:i/>
                <w:sz w:val="24"/>
                <w:szCs w:val="24"/>
              </w:rPr>
              <w:t>громадсь</w:t>
            </w:r>
            <w:r w:rsidR="005B3263">
              <w:rPr>
                <w:i/>
                <w:sz w:val="24"/>
                <w:szCs w:val="24"/>
              </w:rPr>
              <w:t>ких будівель та споруд.</w:t>
            </w:r>
          </w:p>
        </w:tc>
      </w:tr>
      <w:tr w:rsidR="00A0514F" w:rsidRPr="00690B78" w14:paraId="623A32BA" w14:textId="77777777" w:rsidTr="007C28E5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6ABA" w14:textId="77777777" w:rsidR="00A0514F" w:rsidRPr="00DD3D55" w:rsidRDefault="00A0514F" w:rsidP="007C28E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4141" w14:textId="05729BF4" w:rsidR="00A0514F" w:rsidRPr="00DD3D55" w:rsidRDefault="00A0514F" w:rsidP="005B3263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</w:t>
            </w:r>
            <w:r w:rsidR="005B3263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A0514F" w:rsidRPr="00690B78" w14:paraId="4D0633BB" w14:textId="77777777" w:rsidTr="007C28E5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FAC9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6C79DC77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AD5B" w14:textId="77777777" w:rsidR="00A0514F" w:rsidRPr="00DD3D55" w:rsidRDefault="00A0514F" w:rsidP="007C28E5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A0514F" w:rsidRPr="00690B78" w14:paraId="04A05420" w14:textId="77777777" w:rsidTr="007C28E5">
        <w:trPr>
          <w:trHeight w:val="53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6534" w14:textId="77777777" w:rsidR="00A0514F" w:rsidRPr="00DD3D55" w:rsidRDefault="00A0514F" w:rsidP="007C28E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495A" w14:textId="77777777" w:rsidR="0061352D" w:rsidRDefault="00A0514F" w:rsidP="00A0514F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Земельна ділянка площею 0,0326 га (кадастровий номер 8000000000:91:171:0005) на вул. Гончара Олеся, 4/27 літ. Г у Шевченківському районі м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. 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Києва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 призначенням: </w:t>
            </w:r>
            <w:r w:rsidR="0061352D"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03.08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="0061352D"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</w:p>
          <w:p w14:paraId="1109121C" w14:textId="0D863BBB" w:rsidR="00A0514F" w:rsidRDefault="00A0514F" w:rsidP="00A0514F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Рішенням Київської міської ради від 19.09.2024 № 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101/9909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«Про затвердження технічних документацій із землеустрою щодо інвентаризації земель</w:t>
            </w:r>
            <w:r w:rsidR="00046ED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та визначення переліку земельних ділянок для опрацювання можливості продажу права оренди на них на земельних торгах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» затверджено технічну документацію  із землеустрою щодо інвентаризації земель на території кадастрового кварталу 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91:171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(в тому числі щодо земельної ділянки з кадастровим номером 8000000000: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91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: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171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:000</w:t>
            </w:r>
            <w:r w:rsidR="0061352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5</w:t>
            </w:r>
            <w:r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).</w:t>
            </w:r>
          </w:p>
          <w:p w14:paraId="1394D5EC" w14:textId="357BC096" w:rsidR="0061352D" w:rsidRDefault="0061352D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Згідно з лист</w:t>
            </w:r>
            <w:r w:rsidR="005B326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Міністерства культури та інформаційної політики України від 27.02.2023 № 06/35/1854-23</w:t>
            </w:r>
            <w:r w:rsidR="005B326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, який є складовою частиною </w:t>
            </w:r>
            <w:r w:rsidR="005B3263"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технічн</w:t>
            </w:r>
            <w:r w:rsidR="005B326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ої</w:t>
            </w:r>
            <w:r w:rsidR="005B3263"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документаці</w:t>
            </w:r>
            <w:r w:rsidR="005B326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ї</w:t>
            </w:r>
            <w:r w:rsidR="005B3263" w:rsidRPr="00A0514F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 із землеустрою щодо інвентаризації земель на території кадастрового кварталу </w:t>
            </w:r>
            <w:r w:rsidR="005B3263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91:171, земельні ділянки в межах кадастрового кварталу 91:171 розташовані:</w:t>
            </w:r>
          </w:p>
          <w:p w14:paraId="64BDEBC1" w14:textId="5A074099" w:rsidR="005B3263" w:rsidRDefault="005B3263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- у Центральному історичному ареалі</w:t>
            </w:r>
            <w:r w:rsidR="00046ED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міста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;</w:t>
            </w:r>
          </w:p>
          <w:p w14:paraId="46A39E63" w14:textId="5C595C83" w:rsidR="005B3263" w:rsidRDefault="005B3263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lastRenderedPageBreak/>
              <w:t>- в буферній зоні об’єкта всесвітньої спадщини ЮНЕСКО «Київ: Собор Святої Софії з прилеглими монастирськими спорудами, Києво-Печерська лавра»;</w:t>
            </w:r>
          </w:p>
          <w:p w14:paraId="6B3EF284" w14:textId="7EC5EF07" w:rsidR="005B3263" w:rsidRDefault="005B3263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- в архітектурній, археологічній охоронних зонах, на території кварталу, частково включеної до Державного історико-архітектурного заповідника «Стародавній Київ»;</w:t>
            </w:r>
          </w:p>
          <w:p w14:paraId="53DCDC07" w14:textId="557E8C53" w:rsidR="00A0514F" w:rsidRDefault="005B3263" w:rsidP="005B3263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- на території пам’ятки археології національного значення «Культурний шар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Города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Ярослава», ХІ-ХІІІ ст.».</w:t>
            </w:r>
          </w:p>
          <w:p w14:paraId="00507037" w14:textId="594F7484" w:rsidR="00A0514F" w:rsidRPr="00DD3D55" w:rsidRDefault="00A0514F" w:rsidP="007C28E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ідпунктом </w:t>
            </w:r>
            <w:r w:rsidR="00990CF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3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9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пункту </w:t>
            </w:r>
            <w:r w:rsidR="00990CF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3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проєкту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Cуду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від 18.06.2020 у справі № 925/449/19, від 27.01.2021 у справі № 630/269/16, 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зобов’язати землекористувача сплатити безпідставно з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бережен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8EDAE0C" w14:textId="6DF73335" w:rsidR="00A0514F" w:rsidRPr="00DD3D55" w:rsidRDefault="00A0514F" w:rsidP="007C28E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13AC173" w14:textId="77777777" w:rsidR="00A0514F" w:rsidRPr="00DD3D55" w:rsidRDefault="00A0514F" w:rsidP="007C28E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№ 826/8847/16. </w:t>
            </w:r>
          </w:p>
          <w:p w14:paraId="061C3EC2" w14:textId="77777777" w:rsidR="00A0514F" w:rsidRPr="00DD3D55" w:rsidRDefault="00A0514F" w:rsidP="007C28E5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D3D5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D3D5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5C7F338" w14:textId="77777777" w:rsidR="00A0514F" w:rsidRDefault="00A0514F" w:rsidP="00A0514F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32CA6989" w14:textId="77777777" w:rsidR="00A0514F" w:rsidRPr="00DD3D55" w:rsidRDefault="00A0514F" w:rsidP="00A0514F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6. Стан нормативно-правової бази у даній сфері правового регулювання.</w:t>
      </w:r>
    </w:p>
    <w:p w14:paraId="1A3F7D78" w14:textId="77777777" w:rsidR="00A0514F" w:rsidRPr="00DD3D55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10BD3020" w14:textId="77777777" w:rsidR="00A0514F" w:rsidRPr="00DD2DB1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44EBF2B3" w14:textId="77777777" w:rsidR="00A0514F" w:rsidRPr="00DD2DB1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2ACA83E9" w14:textId="77777777" w:rsidR="00A0514F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DD2D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633550A" w14:textId="77777777" w:rsidR="00A0514F" w:rsidRPr="00DD3D55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A5240D7" w14:textId="77777777" w:rsidR="00A0514F" w:rsidRPr="00DD3D55" w:rsidRDefault="00A0514F" w:rsidP="00A0514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708E5AA2" w14:textId="77777777" w:rsidR="00A0514F" w:rsidRPr="00DD3D55" w:rsidRDefault="00A0514F" w:rsidP="00A0514F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037F396" w14:textId="4D3E569B" w:rsidR="00A0514F" w:rsidRPr="00DD3D55" w:rsidRDefault="00A0514F" w:rsidP="00A0514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0E155D" w:rsidRPr="000E15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340 205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0E155D" w:rsidRPr="000E15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43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 w:rsidR="000E15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1D88895A" w14:textId="3CEFD786" w:rsidR="00A0514F" w:rsidRDefault="00A0514F" w:rsidP="00A0514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1A09FC97" w14:textId="77777777" w:rsidR="00A0514F" w:rsidRPr="00DD3D55" w:rsidRDefault="00A0514F" w:rsidP="00A0514F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0C2BFDDB" w14:textId="77777777" w:rsidR="00A0514F" w:rsidRPr="00DD3D55" w:rsidRDefault="00A0514F" w:rsidP="00A0514F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D3D55">
        <w:rPr>
          <w:sz w:val="24"/>
          <w:szCs w:val="24"/>
          <w:lang w:val="uk-UA"/>
        </w:rPr>
        <w:t>проєкту</w:t>
      </w:r>
      <w:proofErr w:type="spellEnd"/>
      <w:r w:rsidRPr="00DD3D55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0EB67B9A" w14:textId="77777777" w:rsidR="00A0514F" w:rsidRPr="00DD3D55" w:rsidRDefault="00A0514F" w:rsidP="00A0514F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09B06989" w14:textId="77777777" w:rsidR="00A0514F" w:rsidRPr="00DD3D55" w:rsidRDefault="00A0514F" w:rsidP="00A0514F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DD3D55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D3D55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4FCD7526" w14:textId="77777777" w:rsidR="00A0514F" w:rsidRPr="00DD3D55" w:rsidRDefault="00A0514F" w:rsidP="00A0514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18141E7B" w14:textId="77777777" w:rsidR="00A0514F" w:rsidRPr="00DD3D55" w:rsidRDefault="00A0514F" w:rsidP="00A0514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A0514F" w:rsidRPr="00DD3D55" w14:paraId="3163F315" w14:textId="77777777" w:rsidTr="007C28E5">
        <w:trPr>
          <w:trHeight w:val="287"/>
        </w:trPr>
        <w:tc>
          <w:tcPr>
            <w:tcW w:w="4814" w:type="dxa"/>
            <w:hideMark/>
          </w:tcPr>
          <w:p w14:paraId="56E208D5" w14:textId="77777777" w:rsidR="00A0514F" w:rsidRPr="00DD3D55" w:rsidRDefault="00A0514F" w:rsidP="007C28E5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3879BD67" w14:textId="77777777" w:rsidR="00A0514F" w:rsidRPr="00DD3D55" w:rsidRDefault="00A0514F" w:rsidP="007C28E5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62713E39" w14:textId="77777777" w:rsidR="00A0514F" w:rsidRPr="00DD3D55" w:rsidRDefault="00A0514F" w:rsidP="000E155D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uk-UA"/>
        </w:rPr>
      </w:pPr>
    </w:p>
    <w:sectPr w:rsidR="00A0514F" w:rsidRPr="00DD3D55" w:rsidSect="00990CF4">
      <w:headerReference w:type="default" r:id="rId11"/>
      <w:pgSz w:w="11906" w:h="16838" w:code="9"/>
      <w:pgMar w:top="993" w:right="758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BDB4" w14:textId="77777777" w:rsidR="00C247AA" w:rsidRDefault="00C247AA" w:rsidP="004D1119">
      <w:pPr>
        <w:spacing w:after="0" w:line="240" w:lineRule="auto"/>
      </w:pPr>
      <w:r>
        <w:separator/>
      </w:r>
    </w:p>
  </w:endnote>
  <w:endnote w:type="continuationSeparator" w:id="0">
    <w:p w14:paraId="2156AE0E" w14:textId="77777777" w:rsidR="00C247AA" w:rsidRDefault="00C247A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CD33F" w14:textId="77777777" w:rsidR="00C247AA" w:rsidRDefault="00C247AA" w:rsidP="004D1119">
      <w:pPr>
        <w:spacing w:after="0" w:line="240" w:lineRule="auto"/>
      </w:pPr>
      <w:r>
        <w:separator/>
      </w:r>
    </w:p>
  </w:footnote>
  <w:footnote w:type="continuationSeparator" w:id="0">
    <w:p w14:paraId="673416D0" w14:textId="77777777" w:rsidR="00C247AA" w:rsidRDefault="00C247A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5E8C17A">
              <wp:simplePos x="0" y="0"/>
              <wp:positionH relativeFrom="column">
                <wp:posOffset>1141095</wp:posOffset>
              </wp:positionH>
              <wp:positionV relativeFrom="paragraph">
                <wp:posOffset>-410845</wp:posOffset>
              </wp:positionV>
              <wp:extent cx="4982845" cy="560705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2845" cy="560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829754362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5480592E" w14:textId="77777777" w:rsidR="00A0514F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</w:t>
                              </w:r>
                            </w:p>
                            <w:p w14:paraId="3B83B646" w14:textId="0346F70D" w:rsidR="00854FAD" w:rsidRPr="00643941" w:rsidRDefault="0061027B" w:rsidP="00A0514F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90B7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ПЗН-72944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A0514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90B7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498445684</w:t>
                              </w:r>
                            </w:p>
                            <w:p w14:paraId="46F472CC" w14:textId="3F922CBE" w:rsidR="00854FAD" w:rsidRPr="00854FAD" w:rsidRDefault="00854FAD" w:rsidP="00A0514F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690B78" w:rsidRPr="00690B78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85pt;margin-top:-32.35pt;width:392.35pt;height: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829754362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5480592E" w14:textId="77777777" w:rsidR="00A0514F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</w:t>
                        </w:r>
                      </w:p>
                      <w:p w14:paraId="3B83B646" w14:textId="0346F70D" w:rsidR="00854FAD" w:rsidRPr="00643941" w:rsidRDefault="0061027B" w:rsidP="00A0514F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90B7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ПЗН-72944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A0514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90B7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498445684</w:t>
                        </w:r>
                      </w:p>
                      <w:p w14:paraId="46F472CC" w14:textId="3F922CBE" w:rsidR="00854FAD" w:rsidRPr="00854FAD" w:rsidRDefault="00854FAD" w:rsidP="00A0514F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690B78" w:rsidRPr="00690B78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46ED4"/>
    <w:rsid w:val="00065154"/>
    <w:rsid w:val="00067FBC"/>
    <w:rsid w:val="00072A72"/>
    <w:rsid w:val="000973D5"/>
    <w:rsid w:val="000C7B40"/>
    <w:rsid w:val="000E155D"/>
    <w:rsid w:val="000E32C6"/>
    <w:rsid w:val="00124E84"/>
    <w:rsid w:val="001C3C63"/>
    <w:rsid w:val="002050D1"/>
    <w:rsid w:val="00216235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B3263"/>
    <w:rsid w:val="005D30F5"/>
    <w:rsid w:val="005F2210"/>
    <w:rsid w:val="005F7F74"/>
    <w:rsid w:val="0061027B"/>
    <w:rsid w:val="0061352D"/>
    <w:rsid w:val="00632F40"/>
    <w:rsid w:val="00640A95"/>
    <w:rsid w:val="00643941"/>
    <w:rsid w:val="006449EB"/>
    <w:rsid w:val="00663205"/>
    <w:rsid w:val="0066447F"/>
    <w:rsid w:val="00677C54"/>
    <w:rsid w:val="00683654"/>
    <w:rsid w:val="00690B78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0CF4"/>
    <w:rsid w:val="009946E5"/>
    <w:rsid w:val="009D6F39"/>
    <w:rsid w:val="009E5D57"/>
    <w:rsid w:val="00A0514F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247AA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A051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3E37D-AAA9-4E80-9E60-D21EC477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8362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58</cp:revision>
  <cp:lastPrinted>2024-11-07T06:52:00Z</cp:lastPrinted>
  <dcterms:created xsi:type="dcterms:W3CDTF">2020-11-06T14:51:00Z</dcterms:created>
  <dcterms:modified xsi:type="dcterms:W3CDTF">2024-11-07T06:54:00Z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