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498444488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498444488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DE4A20" w:rsidRPr="00CD35B0" w14:paraId="39883B9B" w14:textId="77777777" w:rsidTr="0023157E">
        <w:trPr>
          <w:trHeight w:val="2500"/>
        </w:trPr>
        <w:tc>
          <w:tcPr>
            <w:tcW w:w="5387" w:type="dxa"/>
            <w:hideMark/>
          </w:tcPr>
          <w:p w14:paraId="0B182D23" w14:textId="57B90247" w:rsidR="00F6318B" w:rsidRPr="00DE4A20" w:rsidRDefault="00106F1A" w:rsidP="0023157E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надання КОМУНАЛЬНОМУ ПІДПРИЄМСТВУ «КИЇВСЬКИЙ МЕТРОПОЛІТЕН» земельної ділянки в </w:t>
            </w:r>
            <w:r w:rsidRPr="0025032E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для </w:t>
            </w:r>
            <w:r w:rsidRPr="00115DA1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експлуатації та обслуговування </w:t>
            </w:r>
            <w:r w:rsidR="0023157E" w:rsidRPr="0023157E">
              <w:rPr>
                <w:b/>
                <w:sz w:val="28"/>
                <w:szCs w:val="28"/>
              </w:rPr>
              <w:t>павільйону входу (виходу) зі станції метрополітену «Вирлиця</w:t>
            </w:r>
            <w:r w:rsidR="0023157E" w:rsidRPr="0023157E">
              <w:rPr>
                <w:sz w:val="28"/>
                <w:szCs w:val="28"/>
              </w:rPr>
              <w:t>»</w:t>
            </w:r>
            <w:r w:rsidR="0023157E">
              <w:rPr>
                <w:i/>
                <w:sz w:val="24"/>
                <w:szCs w:val="24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на </w:t>
            </w:r>
            <w:r w:rsidRPr="00D15E66">
              <w:rPr>
                <w:b/>
                <w:iCs/>
                <w:color w:val="000000" w:themeColor="text1"/>
                <w:sz w:val="28"/>
                <w:szCs w:val="28"/>
              </w:rPr>
              <w:t xml:space="preserve">просп. Бажана Миколи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Дарницькому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10B01F70" w:rsidR="00F6318B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4FB2B832" w14:textId="77777777" w:rsidR="00106F1A" w:rsidRPr="00DE4A20" w:rsidRDefault="00106F1A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42BF19EE" w:rsidR="00F6318B" w:rsidRPr="00106F1A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106F1A">
        <w:rPr>
          <w:color w:val="000000" w:themeColor="text1"/>
          <w:lang w:val="uk-UA"/>
        </w:rPr>
        <w:t xml:space="preserve">Розглянувши заяву КОМУНАЛЬНОГО ПІДПРИЄМСТВА «КИЇВСЬКИЙ МЕТРОПОЛІТЕН» (код ЄДРПОУ: 03328913, місцезнаходження юридичної особи: 03056, м. Київ, просп. Берестейський, 35) від </w:t>
      </w:r>
      <w:r w:rsidR="00106F1A" w:rsidRPr="00106F1A">
        <w:rPr>
          <w:color w:val="000000" w:themeColor="text1"/>
          <w:szCs w:val="28"/>
          <w:lang w:val="uk-UA"/>
        </w:rPr>
        <w:t xml:space="preserve">19 травня 2025 року </w:t>
      </w:r>
      <w:r w:rsidR="00106F1A">
        <w:rPr>
          <w:color w:val="000000" w:themeColor="text1"/>
          <w:szCs w:val="28"/>
          <w:lang w:val="uk-UA"/>
        </w:rPr>
        <w:t xml:space="preserve">                                    </w:t>
      </w:r>
      <w:r w:rsidR="00106F1A" w:rsidRPr="00106F1A">
        <w:rPr>
          <w:color w:val="000000" w:themeColor="text1"/>
          <w:szCs w:val="28"/>
          <w:lang w:val="uk-UA"/>
        </w:rPr>
        <w:t>№ 72060-009673710-031-03</w:t>
      </w:r>
      <w:r w:rsidRPr="00106F1A">
        <w:rPr>
          <w:color w:val="000000" w:themeColor="text1"/>
          <w:lang w:val="uk-UA"/>
        </w:rPr>
        <w:t xml:space="preserve"> про надання в постійне користування земельної ділянки та додані документи,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</w:t>
      </w:r>
      <w:r w:rsidR="00AF652F">
        <w:rPr>
          <w:color w:val="000000" w:themeColor="text1"/>
          <w:lang w:val="uk-UA"/>
        </w:rPr>
        <w:t xml:space="preserve">(право власності зареєстровано в Державному реєстрі речових прав на нерухоме майно 28 травня 2025 року, номер відомостей про речове право </w:t>
      </w:r>
      <w:r w:rsidR="00AF652F">
        <w:rPr>
          <w:lang w:val="uk-UA"/>
        </w:rPr>
        <w:t>60157628</w:t>
      </w:r>
      <w:r w:rsidR="00AF652F">
        <w:rPr>
          <w:color w:val="000000" w:themeColor="text1"/>
          <w:lang w:val="uk-UA"/>
        </w:rPr>
        <w:t xml:space="preserve">) </w:t>
      </w:r>
      <w:r w:rsidRPr="00106F1A">
        <w:rPr>
          <w:color w:val="000000" w:themeColor="text1"/>
          <w:lang w:val="uk-UA"/>
        </w:rPr>
        <w:t>та керуючись статтями 9,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38529D46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106F1A">
        <w:rPr>
          <w:color w:val="000000" w:themeColor="text1"/>
          <w:sz w:val="28"/>
          <w:szCs w:val="28"/>
          <w:lang w:val="uk-UA"/>
        </w:rPr>
        <w:t>Надати КОМУНАЛЬНОМУ ПІДПРИЄМСТВУ «КИЇВСЬКИЙ МЕТРОПОЛІТЕН»,</w:t>
      </w:r>
      <w:r w:rsidR="00106F1A" w:rsidRPr="00DE4A20">
        <w:rPr>
          <w:color w:val="000000" w:themeColor="text1"/>
          <w:sz w:val="28"/>
          <w:szCs w:val="28"/>
          <w:lang w:val="uk-UA"/>
        </w:rPr>
        <w:t xml:space="preserve"> за умови виконання пункту </w:t>
      </w:r>
      <w:r w:rsidR="00106F1A">
        <w:rPr>
          <w:color w:val="000000" w:themeColor="text1"/>
          <w:sz w:val="28"/>
          <w:szCs w:val="28"/>
          <w:lang w:val="uk-UA"/>
        </w:rPr>
        <w:t>2</w:t>
      </w:r>
      <w:r w:rsidR="00106F1A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106F1A">
        <w:rPr>
          <w:color w:val="000000" w:themeColor="text1"/>
          <w:sz w:val="28"/>
          <w:szCs w:val="28"/>
          <w:lang w:val="uk-UA"/>
        </w:rPr>
        <w:t>в</w:t>
      </w:r>
      <w:r w:rsidR="00106F1A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106F1A" w:rsidRPr="00DE4A20">
        <w:rPr>
          <w:iCs/>
          <w:color w:val="000000" w:themeColor="text1"/>
          <w:sz w:val="28"/>
          <w:szCs w:val="28"/>
          <w:lang w:eastAsia="uk-UA"/>
        </w:rPr>
        <w:t xml:space="preserve">постійне </w:t>
      </w:r>
      <w:r w:rsidR="00106F1A" w:rsidRPr="002C0C48">
        <w:rPr>
          <w:iCs/>
          <w:color w:val="000000" w:themeColor="text1"/>
          <w:sz w:val="28"/>
          <w:szCs w:val="28"/>
          <w:lang w:val="uk-UA" w:eastAsia="uk-UA"/>
        </w:rPr>
        <w:t>користування</w:t>
      </w:r>
      <w:r w:rsidR="00106F1A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106F1A">
        <w:rPr>
          <w:iCs/>
          <w:color w:val="000000" w:themeColor="text1"/>
          <w:sz w:val="28"/>
          <w:szCs w:val="28"/>
          <w:lang w:val="uk-UA" w:eastAsia="uk-UA"/>
        </w:rPr>
        <w:t>з</w:t>
      </w:r>
      <w:r w:rsidR="00106F1A" w:rsidRPr="00DE4A20">
        <w:rPr>
          <w:color w:val="000000" w:themeColor="text1"/>
          <w:sz w:val="28"/>
          <w:szCs w:val="28"/>
          <w:lang w:val="uk-UA"/>
        </w:rPr>
        <w:t xml:space="preserve">емельну ділянку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483953">
        <w:rPr>
          <w:iCs/>
          <w:color w:val="000000" w:themeColor="text1"/>
          <w:sz w:val="28"/>
          <w:szCs w:val="28"/>
          <w:lang w:val="uk-UA" w:eastAsia="uk-UA"/>
        </w:rPr>
        <w:t>0,0057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</w:t>
      </w:r>
      <w:r w:rsidR="007A77D6">
        <w:rPr>
          <w:color w:val="000000" w:themeColor="text1"/>
          <w:sz w:val="28"/>
          <w:szCs w:val="28"/>
          <w:lang w:val="uk-UA"/>
        </w:rPr>
        <w:t xml:space="preserve">                                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номер </w:t>
      </w:r>
      <w:r w:rsidR="00F837D8" w:rsidRPr="00483953">
        <w:rPr>
          <w:iCs/>
          <w:color w:val="000000" w:themeColor="text1"/>
          <w:sz w:val="28"/>
          <w:szCs w:val="28"/>
          <w:lang w:val="uk-UA" w:eastAsia="uk-UA"/>
        </w:rPr>
        <w:t>8000000000:90:171:0101</w:t>
      </w:r>
      <w:r w:rsidR="00F837D8" w:rsidRPr="00AF790C">
        <w:rPr>
          <w:sz w:val="28"/>
          <w:szCs w:val="28"/>
          <w:lang w:val="uk-UA"/>
        </w:rPr>
        <w:t xml:space="preserve">) </w:t>
      </w:r>
      <w:r w:rsidR="00106F1A" w:rsidRPr="00115DA1">
        <w:rPr>
          <w:color w:val="000000" w:themeColor="text1"/>
          <w:sz w:val="28"/>
          <w:szCs w:val="28"/>
          <w:lang w:val="uk-UA"/>
        </w:rPr>
        <w:t xml:space="preserve">для </w:t>
      </w:r>
      <w:r w:rsidR="00106F1A" w:rsidRPr="00115DA1">
        <w:rPr>
          <w:color w:val="000000"/>
          <w:sz w:val="28"/>
          <w:szCs w:val="28"/>
          <w:shd w:val="clear" w:color="auto" w:fill="FFFFFF"/>
          <w:lang w:val="uk-UA"/>
        </w:rPr>
        <w:t xml:space="preserve">експлуатації та обслуговування </w:t>
      </w:r>
      <w:r w:rsidR="0023157E" w:rsidRPr="00483953">
        <w:rPr>
          <w:sz w:val="28"/>
          <w:szCs w:val="28"/>
          <w:lang w:val="uk-UA"/>
        </w:rPr>
        <w:t>павільйон</w:t>
      </w:r>
      <w:r w:rsidR="0023157E" w:rsidRPr="0023157E">
        <w:rPr>
          <w:sz w:val="28"/>
          <w:szCs w:val="28"/>
          <w:lang w:val="uk-UA"/>
        </w:rPr>
        <w:t>у</w:t>
      </w:r>
      <w:r w:rsidR="0023157E" w:rsidRPr="00483953">
        <w:rPr>
          <w:sz w:val="28"/>
          <w:szCs w:val="28"/>
          <w:lang w:val="uk-UA"/>
        </w:rPr>
        <w:t xml:space="preserve"> входу </w:t>
      </w:r>
      <w:r w:rsidR="0023157E" w:rsidRPr="0023157E">
        <w:rPr>
          <w:sz w:val="28"/>
          <w:szCs w:val="28"/>
          <w:lang w:val="uk-UA"/>
        </w:rPr>
        <w:t>(</w:t>
      </w:r>
      <w:r w:rsidR="0023157E" w:rsidRPr="00483953">
        <w:rPr>
          <w:sz w:val="28"/>
          <w:szCs w:val="28"/>
          <w:lang w:val="uk-UA"/>
        </w:rPr>
        <w:t>виходу) зі станції метрополітену «Вирлиця»</w:t>
      </w:r>
      <w:r w:rsidR="0023157E" w:rsidRPr="0023157E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 xml:space="preserve">код виду цільового </w:t>
      </w:r>
      <w:r w:rsidR="00D125D7">
        <w:rPr>
          <w:color w:val="000000" w:themeColor="text1"/>
          <w:sz w:val="28"/>
          <w:szCs w:val="28"/>
          <w:lang w:val="uk-UA"/>
        </w:rPr>
        <w:lastRenderedPageBreak/>
        <w:t>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12.07 для розміщення та експлуатації будівель і споруд міського електротранспорту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106F1A" w:rsidRPr="00483953">
        <w:rPr>
          <w:iCs/>
          <w:sz w:val="28"/>
          <w:szCs w:val="28"/>
          <w:lang w:val="uk-UA"/>
        </w:rPr>
        <w:t xml:space="preserve">просп. </w:t>
      </w:r>
      <w:r w:rsidR="00106F1A">
        <w:rPr>
          <w:iCs/>
          <w:sz w:val="28"/>
          <w:szCs w:val="28"/>
        </w:rPr>
        <w:t>Бажана Миколи</w:t>
      </w:r>
      <w:r w:rsidR="00106F1A" w:rsidRPr="00AF790C">
        <w:rPr>
          <w:iCs/>
          <w:sz w:val="28"/>
          <w:szCs w:val="28"/>
          <w:lang w:val="uk-UA"/>
        </w:rPr>
        <w:t xml:space="preserve"> </w:t>
      </w:r>
      <w:r w:rsidR="00106F1A" w:rsidRPr="00AF790C">
        <w:rPr>
          <w:sz w:val="28"/>
          <w:szCs w:val="28"/>
          <w:lang w:val="uk-UA"/>
        </w:rPr>
        <w:t xml:space="preserve">у </w:t>
      </w:r>
      <w:r w:rsidR="00106F1A" w:rsidRPr="00AF790C">
        <w:rPr>
          <w:iCs/>
          <w:sz w:val="28"/>
          <w:szCs w:val="28"/>
        </w:rPr>
        <w:t>Дарницькому</w:t>
      </w:r>
      <w:r w:rsidR="00106F1A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 </w:t>
      </w:r>
      <w:r w:rsidR="00106F1A" w:rsidRPr="00B23D70">
        <w:rPr>
          <w:sz w:val="28"/>
          <w:szCs w:val="28"/>
          <w:lang w:val="uk-UA"/>
        </w:rPr>
        <w:t xml:space="preserve">у зв’язку </w:t>
      </w:r>
      <w:r w:rsidR="0023157E">
        <w:rPr>
          <w:sz w:val="28"/>
          <w:szCs w:val="28"/>
          <w:lang w:val="uk-UA"/>
        </w:rPr>
        <w:t>і</w:t>
      </w:r>
      <w:r w:rsidR="00106F1A" w:rsidRPr="00B23D70">
        <w:rPr>
          <w:sz w:val="28"/>
          <w:szCs w:val="28"/>
          <w:lang w:val="uk-UA"/>
        </w:rPr>
        <w:t xml:space="preserve">з </w:t>
      </w:r>
      <w:r w:rsidR="0023157E">
        <w:rPr>
          <w:sz w:val="28"/>
          <w:szCs w:val="28"/>
          <w:lang w:val="uk-UA"/>
        </w:rPr>
        <w:t>закріпленням</w:t>
      </w:r>
      <w:r w:rsidR="00106F1A" w:rsidRPr="00B23D70">
        <w:rPr>
          <w:sz w:val="28"/>
          <w:szCs w:val="28"/>
          <w:lang w:val="uk-UA"/>
        </w:rPr>
        <w:t xml:space="preserve"> нерухомого майна на праві господарського відання відповідно до </w:t>
      </w:r>
      <w:r w:rsidR="00106F1A">
        <w:rPr>
          <w:sz w:val="28"/>
          <w:szCs w:val="28"/>
          <w:lang w:val="uk-UA"/>
        </w:rPr>
        <w:t xml:space="preserve">рішення </w:t>
      </w:r>
      <w:r w:rsidR="00106F1A" w:rsidRPr="00B23D70">
        <w:rPr>
          <w:sz w:val="28"/>
          <w:szCs w:val="28"/>
          <w:lang w:val="uk-UA"/>
        </w:rPr>
        <w:t xml:space="preserve">Київської міської ради </w:t>
      </w:r>
      <w:r w:rsidR="00106F1A" w:rsidRPr="000C4059">
        <w:rPr>
          <w:sz w:val="28"/>
          <w:szCs w:val="28"/>
          <w:lang w:val="uk-UA"/>
        </w:rPr>
        <w:t xml:space="preserve">від 18 вересня 2008 року № 248/248 «Про </w:t>
      </w:r>
      <w:r w:rsidR="00106F1A">
        <w:rPr>
          <w:sz w:val="28"/>
          <w:szCs w:val="28"/>
          <w:lang w:val="uk-UA"/>
        </w:rPr>
        <w:t>зарахування до комунальної власності територіальної громади м. Києва закінченого будівництвом об’єкта комунального призначення - «Станція «Вирлиця» на перегоні між станціями «Харківська» та «Бориспільська» Сирецько-Печерської лінії метрополітену</w:t>
      </w:r>
      <w:r w:rsidR="00106F1A" w:rsidRPr="000C4059">
        <w:rPr>
          <w:sz w:val="28"/>
          <w:szCs w:val="28"/>
          <w:lang w:val="uk-UA"/>
        </w:rPr>
        <w:t xml:space="preserve">» </w:t>
      </w:r>
      <w:r w:rsidR="00961B41" w:rsidRPr="00AF790C">
        <w:rPr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 іншого призначення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19 травня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72060-009673710-031-03,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498444488</w:t>
      </w:r>
      <w:r w:rsidR="00106F1A">
        <w:rPr>
          <w:color w:val="000000" w:themeColor="text1"/>
          <w:sz w:val="28"/>
          <w:szCs w:val="28"/>
          <w:lang w:val="uk-UA"/>
        </w:rPr>
        <w:t>)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70463CA2" w14:textId="77777777" w:rsidR="00106F1A" w:rsidRPr="00DE4A20" w:rsidRDefault="00106F1A" w:rsidP="00106F1A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КОМУНАЛЬНОМУ ПІДПРИЄМСТВУ «КИЇВСЬКИЙ МЕТРОПОЛІТЕН»</w:t>
      </w:r>
      <w:r w:rsidRPr="00DE4A20">
        <w:rPr>
          <w:color w:val="000000" w:themeColor="text1"/>
          <w:sz w:val="28"/>
          <w:szCs w:val="28"/>
          <w:lang w:val="uk-UA"/>
        </w:rPr>
        <w:t>:</w:t>
      </w:r>
    </w:p>
    <w:p w14:paraId="51910232" w14:textId="77777777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України.</w:t>
      </w:r>
    </w:p>
    <w:p w14:paraId="430E0F02" w14:textId="6640321B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</w:t>
      </w:r>
      <w:r w:rsidR="007A77D6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обтяжень».</w:t>
      </w:r>
    </w:p>
    <w:p w14:paraId="0D628736" w14:textId="77777777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17E9E109" w14:textId="77777777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026AD583" w14:textId="77777777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578DC1C1" w14:textId="77777777" w:rsidR="00106F1A" w:rsidRDefault="00106F1A" w:rsidP="00106F1A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2.6. Забезпечити відповідно до рішення Київської міської ради                                  від 27 жовтня 2011 року № 384/6600 «Про затвердження Порядку видалення зелених насаджень на території міста Києва» (із змінами і доповненнями) обстеження зелених насаджень, укладання охоронного договору на зелені насадження та у випадку, визначеному законодавством, вирішення питання сплати відновної вартості зелених насаджень.</w:t>
      </w:r>
    </w:p>
    <w:p w14:paraId="744EE7AC" w14:textId="77777777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 У разі необхідності проведення реконструкції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121AAB2C" w14:textId="2429823E" w:rsidR="00106F1A" w:rsidRDefault="00106F1A" w:rsidP="00106F1A">
      <w:pPr>
        <w:tabs>
          <w:tab w:val="left" w:pos="0"/>
        </w:tabs>
        <w:ind w:firstLine="68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2.8. Земельну ділянку в межах червоних ліній використовувати з обмеженнями відповідно до вимог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Закону України «Про автомобільні</w:t>
      </w:r>
      <w:r w:rsidR="007A77D6">
        <w:rPr>
          <w:color w:val="000000"/>
          <w:sz w:val="28"/>
          <w:szCs w:val="28"/>
          <w:shd w:val="clear" w:color="auto" w:fill="FFFFFF"/>
          <w:lang w:val="uk-UA"/>
        </w:rPr>
        <w:t xml:space="preserve">            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дороги».</w:t>
      </w:r>
    </w:p>
    <w:p w14:paraId="242569DD" w14:textId="77777777" w:rsidR="00106F1A" w:rsidRDefault="00106F1A" w:rsidP="00106F1A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A5B0393" w14:textId="77777777" w:rsidR="00106F1A" w:rsidRDefault="00106F1A" w:rsidP="00106F1A">
      <w:pPr>
        <w:pStyle w:val="ParagraphStyle"/>
        <w:ind w:firstLine="6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Pr="00E06594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 і вважається доведеним до відома заявника з дня його оприлюднення на офіційному вебсайті Київської міської ради.</w:t>
      </w:r>
    </w:p>
    <w:p w14:paraId="20A4F266" w14:textId="77777777" w:rsidR="00106F1A" w:rsidRDefault="00106F1A" w:rsidP="00106F1A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2F3FE48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156EF816" w14:textId="77777777" w:rsidR="00106F1A" w:rsidRDefault="00106F1A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3836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483953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483953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483953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4EE24398" w:rsidR="00CD35B0" w:rsidRDefault="00483953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 xml:space="preserve">Віктор ДВОРНІКОВ </w:t>
            </w:r>
            <w:bookmarkStart w:id="0" w:name="_GoBack"/>
            <w:bookmarkEnd w:id="0"/>
            <w:r w:rsidR="00CD35B0"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4680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1E14FDBB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tbl>
      <w:tblPr>
        <w:tblStyle w:val="af3"/>
        <w:tblW w:w="10847" w:type="dxa"/>
        <w:tblLook w:val="04A0" w:firstRow="1" w:lastRow="0" w:firstColumn="1" w:lastColumn="0" w:noHBand="0" w:noVBand="1"/>
      </w:tblPr>
      <w:tblGrid>
        <w:gridCol w:w="4927"/>
        <w:gridCol w:w="993"/>
        <w:gridCol w:w="3934"/>
        <w:gridCol w:w="993"/>
      </w:tblGrid>
      <w:tr w:rsidR="00106F1A" w:rsidRPr="005563AC" w14:paraId="4B5F42C6" w14:textId="77777777" w:rsidTr="00216CD0">
        <w:trPr>
          <w:trHeight w:val="13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ADF14" w14:textId="77777777" w:rsidR="00106F1A" w:rsidRPr="00636FF0" w:rsidRDefault="00106F1A" w:rsidP="00216CD0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1C321F86" w14:textId="77777777" w:rsidR="00106F1A" w:rsidRPr="00636FF0" w:rsidRDefault="00106F1A" w:rsidP="00216CD0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49F026A7" w14:textId="77777777" w:rsidR="00106F1A" w:rsidRDefault="00106F1A" w:rsidP="00216CD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1D07BFBE" w14:textId="77777777" w:rsidR="00106F1A" w:rsidRDefault="00106F1A" w:rsidP="00216CD0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транспорту, зв’язку та реклами</w:t>
            </w:r>
          </w:p>
          <w:p w14:paraId="4D53A527" w14:textId="77777777" w:rsidR="00106F1A" w:rsidRPr="00636FF0" w:rsidRDefault="00106F1A" w:rsidP="00216CD0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3ADCD" w14:textId="77777777" w:rsidR="00106F1A" w:rsidRPr="00636FF0" w:rsidRDefault="00106F1A" w:rsidP="00216CD0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106F1A" w:rsidRPr="005563AC" w14:paraId="77C5A9AE" w14:textId="77777777" w:rsidTr="00216CD0">
        <w:trPr>
          <w:gridAfter w:val="1"/>
          <w:wAfter w:w="993" w:type="dxa"/>
          <w:trHeight w:val="283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09193B4" w14:textId="77777777" w:rsidR="00106F1A" w:rsidRPr="005563AC" w:rsidRDefault="00106F1A" w:rsidP="00216CD0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14:paraId="0BDC17D7" w14:textId="77777777" w:rsidR="00106F1A" w:rsidRPr="005563AC" w:rsidRDefault="00106F1A" w:rsidP="00216CD0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5563AC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B5678" w14:textId="77777777" w:rsidR="00106F1A" w:rsidRPr="00636FF0" w:rsidRDefault="00106F1A" w:rsidP="00216CD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D80F863" w14:textId="77777777" w:rsidR="00106F1A" w:rsidRPr="00636FF0" w:rsidRDefault="00106F1A" w:rsidP="00216CD0">
            <w:pPr>
              <w:jc w:val="right"/>
              <w:rPr>
                <w:sz w:val="28"/>
                <w:szCs w:val="28"/>
              </w:rPr>
            </w:pPr>
            <w:r w:rsidRPr="00A63888">
              <w:rPr>
                <w:rStyle w:val="af0"/>
                <w:b w:val="0"/>
                <w:sz w:val="28"/>
                <w:szCs w:val="28"/>
                <w:lang w:val="uk-UA"/>
              </w:rPr>
              <w:t>Олексій ОКОПНИЙ</w:t>
            </w:r>
          </w:p>
        </w:tc>
      </w:tr>
    </w:tbl>
    <w:p w14:paraId="0381BBD3" w14:textId="30B7961E" w:rsidR="00E75718" w:rsidRPr="008119F4" w:rsidRDefault="00483953" w:rsidP="00483953">
      <w:pPr>
        <w:rPr>
          <w:color w:val="000000"/>
          <w:sz w:val="28"/>
          <w:szCs w:val="28"/>
          <w:lang w:val="en-US" w:eastAsia="uk-UA"/>
        </w:rPr>
      </w:pPr>
      <w:r w:rsidRPr="008119F4"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CD35B0">
      <w:pgSz w:w="11906" w:h="16838"/>
      <w:pgMar w:top="1134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AD960" w14:textId="77777777" w:rsidR="004132A0" w:rsidRDefault="004132A0">
      <w:r>
        <w:separator/>
      </w:r>
    </w:p>
  </w:endnote>
  <w:endnote w:type="continuationSeparator" w:id="0">
    <w:p w14:paraId="4EC46B35" w14:textId="77777777" w:rsidR="004132A0" w:rsidRDefault="0041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3149E" w14:textId="77777777" w:rsidR="004132A0" w:rsidRDefault="004132A0">
      <w:r>
        <w:separator/>
      </w:r>
    </w:p>
  </w:footnote>
  <w:footnote w:type="continuationSeparator" w:id="0">
    <w:p w14:paraId="5DD44C2A" w14:textId="77777777" w:rsidR="004132A0" w:rsidRDefault="0041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577C9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06F1A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3157E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36DC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2A0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83953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A77D6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652F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018D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5440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6</cp:revision>
  <cp:lastPrinted>2025-06-04T10:26:00Z</cp:lastPrinted>
  <dcterms:created xsi:type="dcterms:W3CDTF">2025-06-04T10:13:00Z</dcterms:created>
  <dcterms:modified xsi:type="dcterms:W3CDTF">2025-06-18T11:35:00Z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