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494392370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494392370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BA573A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ПЗН-56830 від </w:t>
      </w:r>
      <w:r w:rsidRPr="00CF2418">
        <w:rPr>
          <w:b/>
          <w:bCs/>
          <w:i w:val="0"/>
          <w:sz w:val="24"/>
          <w:szCs w:val="24"/>
        </w:rPr>
        <w:t>27.07.2023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0916C809" w14:textId="6C7BED10" w:rsidR="00B30291" w:rsidRPr="00FE66AD" w:rsidRDefault="00F26E4B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color w:val="000000" w:themeColor="text1"/>
          <w:sz w:val="24"/>
          <w:szCs w:val="24"/>
          <w:lang w:val="uk-UA"/>
        </w:rPr>
      </w:pPr>
      <w:r w:rsidRPr="00F26E4B">
        <w:rPr>
          <w:b/>
          <w:i/>
          <w:color w:val="000000" w:themeColor="text1"/>
          <w:sz w:val="24"/>
          <w:szCs w:val="24"/>
          <w:lang w:val="uk-UA"/>
        </w:rPr>
        <w:t xml:space="preserve">Про </w:t>
      </w:r>
      <w:r w:rsidRPr="00FE66AD">
        <w:rPr>
          <w:b/>
          <w:i/>
          <w:color w:val="000000" w:themeColor="text1"/>
          <w:sz w:val="24"/>
          <w:szCs w:val="24"/>
          <w:lang w:val="uk-UA"/>
        </w:rPr>
        <w:t xml:space="preserve">зміну цільового призначення земельної ділянки ПРИВАТНОГО ПІДПРИЄМСТВА «ГОЛДЕН-ФАРМ» </w:t>
      </w:r>
      <w:r w:rsidRPr="00FE66AD">
        <w:rPr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E66AD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E66AD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FE66AD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Якова Гніздовського, 1 (літ. </w:t>
      </w:r>
      <w:r w:rsidRPr="00FE66AD">
        <w:rPr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XXVI)</w:t>
      </w:r>
      <w:r w:rsidRPr="00FE66AD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E66AD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FE66AD">
        <w:rPr>
          <w:b/>
          <w:i/>
          <w:iCs/>
          <w:color w:val="000000" w:themeColor="text1"/>
          <w:sz w:val="24"/>
          <w:szCs w:val="24"/>
          <w:lang w:val="uk-UA"/>
        </w:rPr>
        <w:t>Деснянському</w:t>
      </w:r>
      <w:r w:rsidRPr="00FE66AD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061967A" w14:textId="77777777" w:rsidR="00B302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ПРИВАТНЕ ПІДПРИЄМСТВО «ГОЛДЕН-ФАРМ»</w:t>
            </w:r>
          </w:p>
          <w:p w14:paraId="0E6745E1" w14:textId="60171F15" w:rsidR="00B168A4" w:rsidRPr="00B168A4" w:rsidRDefault="00B168A4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 xml:space="preserve">(далі – ПП </w:t>
            </w:r>
            <w:r w:rsidRPr="00AC6C1F">
              <w:rPr>
                <w:b w:val="0"/>
                <w:i/>
                <w:sz w:val="24"/>
                <w:szCs w:val="24"/>
              </w:rPr>
              <w:t>«ГОЛДЕН-ФАРМ»</w:t>
            </w:r>
            <w:r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AFF44F0" w14:textId="77777777" w:rsidR="00F26E4B" w:rsidRPr="00F26E4B" w:rsidRDefault="00F26E4B" w:rsidP="00F26E4B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F26E4B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shd w:val="clear" w:color="auto" w:fill="FFFFFF"/>
                <w:lang w:val="ru-RU" w:eastAsia="ru-RU" w:bidi="ar-SA"/>
              </w:rPr>
              <w:t>ГОЛОД ОЛЕСЯ ІВАНІВНА</w:t>
            </w:r>
          </w:p>
          <w:p w14:paraId="15C91214" w14:textId="050F6348" w:rsidR="00B30291" w:rsidRPr="00AC6C1F" w:rsidRDefault="00F26E4B" w:rsidP="00F26E4B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lang w:val="ru-RU"/>
              </w:rPr>
            </w:pPr>
            <w:r w:rsidRPr="00F26E4B"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>Україна, 02094, місто Київ, вул. Попудренко</w:t>
            </w:r>
          </w:p>
        </w:tc>
      </w:tr>
      <w:tr w:rsidR="00B30291" w:rsidRPr="00CF2418" w14:paraId="18172CC5" w14:textId="77777777" w:rsidTr="00F26E4B">
        <w:trPr>
          <w:cantSplit/>
          <w:trHeight w:val="60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5EC1BC9" w14:textId="77777777" w:rsidR="00F26E4B" w:rsidRPr="00F26E4B" w:rsidRDefault="00F26E4B" w:rsidP="00F26E4B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F26E4B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shd w:val="clear" w:color="auto" w:fill="FFFFFF"/>
                <w:lang w:val="ru-RU" w:eastAsia="ru-RU" w:bidi="ar-SA"/>
              </w:rPr>
              <w:t>ГОЛОД ОЛЕСЯ ІВАНІВНА</w:t>
            </w:r>
          </w:p>
          <w:p w14:paraId="5615A992" w14:textId="16271F65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21.07.2023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494392370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8000000000:62:068:0083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26E4B">
        <w:trPr>
          <w:trHeight w:hRule="exact" w:val="397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Деснянський, вул. Магнітогорська, 1  </w:t>
            </w:r>
          </w:p>
        </w:tc>
      </w:tr>
      <w:tr w:rsidR="00B30291" w14:paraId="2FE40A2A" w14:textId="77777777" w:rsidTr="00F26E4B">
        <w:trPr>
          <w:trHeight w:hRule="exact" w:val="418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0,2918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700130D" w:rsidR="00B30291" w:rsidRPr="00F26E4B" w:rsidRDefault="00B30291" w:rsidP="00F26E4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F26E4B">
              <w:rPr>
                <w:i/>
                <w:sz w:val="24"/>
                <w:szCs w:val="24"/>
              </w:rPr>
              <w:t>оренда</w:t>
            </w:r>
            <w:r w:rsidR="00F26E4B" w:rsidRPr="00F26E4B">
              <w:rPr>
                <w:i/>
                <w:sz w:val="24"/>
                <w:szCs w:val="24"/>
                <w:lang w:val="uk-UA"/>
              </w:rPr>
              <w:t xml:space="preserve"> до </w:t>
            </w:r>
            <w:r w:rsidR="00F26E4B" w:rsidRPr="00F26E4B">
              <w:rPr>
                <w:i/>
                <w:color w:val="333333"/>
                <w:sz w:val="24"/>
                <w:szCs w:val="24"/>
                <w:shd w:val="clear" w:color="auto" w:fill="FFFFFF"/>
              </w:rPr>
              <w:t>13.12.2027</w:t>
            </w:r>
            <w:r w:rsidR="00F26E4B" w:rsidRPr="00F26E4B">
              <w:rPr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</w:p>
        </w:tc>
      </w:tr>
      <w:tr w:rsidR="00F26E4B" w14:paraId="6763E525" w14:textId="77777777" w:rsidTr="00F26E4B">
        <w:trPr>
          <w:trHeight w:hRule="exact" w:val="2048"/>
        </w:trPr>
        <w:tc>
          <w:tcPr>
            <w:tcW w:w="3260" w:type="dxa"/>
            <w:shd w:val="clear" w:color="auto" w:fill="FFFFFF"/>
          </w:tcPr>
          <w:p w14:paraId="6876DD61" w14:textId="77777777" w:rsidR="00F26E4B" w:rsidRDefault="00F26E4B" w:rsidP="00F26E4B">
            <w:pPr>
              <w:pStyle w:val="a4"/>
              <w:shd w:val="clear" w:color="auto" w:fill="auto"/>
              <w:ind w:hanging="4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  <w:r w:rsidRPr="0071423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317C6E7" w14:textId="77777777" w:rsidR="00F26E4B" w:rsidRPr="0071423D" w:rsidRDefault="00F26E4B" w:rsidP="00F26E4B">
            <w:pPr>
              <w:pStyle w:val="a4"/>
              <w:shd w:val="clear" w:color="auto" w:fill="auto"/>
              <w:ind w:hanging="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1423D">
              <w:rPr>
                <w:color w:val="000000" w:themeColor="text1"/>
                <w:sz w:val="24"/>
                <w:szCs w:val="24"/>
                <w:lang w:val="uk-UA"/>
              </w:rPr>
              <w:t>існуюч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</w:p>
          <w:p w14:paraId="35476095" w14:textId="77777777" w:rsidR="00F26E4B" w:rsidRDefault="00F26E4B" w:rsidP="00F26E4B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F931AB9" w14:textId="0E510548" w:rsidR="00F26E4B" w:rsidRPr="00CF2418" w:rsidRDefault="00F26E4B" w:rsidP="00F26E4B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 w:rsidRPr="0071423D">
              <w:rPr>
                <w:color w:val="000000" w:themeColor="text1"/>
                <w:sz w:val="24"/>
                <w:szCs w:val="24"/>
              </w:rPr>
              <w:t>проєктн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  <w:tc>
          <w:tcPr>
            <w:tcW w:w="6100" w:type="dxa"/>
            <w:shd w:val="clear" w:color="auto" w:fill="FFFFFF"/>
          </w:tcPr>
          <w:p w14:paraId="36E8A147" w14:textId="77777777" w:rsidR="00F26E4B" w:rsidRPr="00E50DB0" w:rsidRDefault="00F26E4B" w:rsidP="00F26E4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</w:p>
          <w:p w14:paraId="0C61AC70" w14:textId="39827868" w:rsidR="00F26E4B" w:rsidRDefault="00F26E4B" w:rsidP="00F26E4B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- </w:t>
            </w:r>
            <w:r w:rsidRPr="00E50DB0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  <w:p w14:paraId="3AF0017D" w14:textId="77777777" w:rsidR="00F26E4B" w:rsidRDefault="00F26E4B" w:rsidP="00F26E4B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0974F83D" w14:textId="361898FE" w:rsidR="00F26E4B" w:rsidRPr="00AC6C1F" w:rsidRDefault="00F26E4B" w:rsidP="00F26E4B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71423D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землі промисловості, транспорту, </w:t>
            </w:r>
            <w:r w:rsidRPr="0071423D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електронних комунікацій</w:t>
            </w:r>
            <w:r w:rsidRPr="0071423D">
              <w:rPr>
                <w:i/>
                <w:color w:val="000000" w:themeColor="text1"/>
                <w:sz w:val="24"/>
                <w:szCs w:val="24"/>
                <w:lang w:val="uk-UA"/>
              </w:rPr>
              <w:t>, енергетики, оборони та іншого призначення</w:t>
            </w:r>
          </w:p>
        </w:tc>
      </w:tr>
      <w:tr w:rsidR="00F26E4B" w14:paraId="4EEB19B1" w14:textId="77777777" w:rsidTr="00F26E4B">
        <w:trPr>
          <w:trHeight w:hRule="exact" w:val="2134"/>
        </w:trPr>
        <w:tc>
          <w:tcPr>
            <w:tcW w:w="3260" w:type="dxa"/>
            <w:shd w:val="clear" w:color="auto" w:fill="FFFFFF"/>
          </w:tcPr>
          <w:p w14:paraId="3ACB7FAC" w14:textId="77777777" w:rsidR="00F26E4B" w:rsidRDefault="00F26E4B" w:rsidP="00F26E4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  <w:p w14:paraId="2BEDACD9" w14:textId="77777777" w:rsidR="00F26E4B" w:rsidRPr="0071423D" w:rsidRDefault="00F26E4B" w:rsidP="00F26E4B">
            <w:pPr>
              <w:pStyle w:val="a4"/>
              <w:shd w:val="clear" w:color="auto" w:fill="auto"/>
              <w:ind w:hanging="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1423D">
              <w:rPr>
                <w:color w:val="000000" w:themeColor="text1"/>
                <w:sz w:val="24"/>
                <w:szCs w:val="24"/>
                <w:lang w:val="uk-UA"/>
              </w:rPr>
              <w:t>існуючий</w:t>
            </w:r>
          </w:p>
          <w:p w14:paraId="580CBF9F" w14:textId="77777777" w:rsidR="00F26E4B" w:rsidRPr="0071423D" w:rsidRDefault="00F26E4B" w:rsidP="00F26E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217E54FD" w14:textId="77777777" w:rsidR="00F26E4B" w:rsidRPr="00E50DB0" w:rsidRDefault="00F26E4B" w:rsidP="00F26E4B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E5AA3FD" w14:textId="068F3CE3" w:rsidR="00F26E4B" w:rsidRPr="00B30291" w:rsidRDefault="00F26E4B" w:rsidP="00F26E4B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  <w:r w:rsidRPr="00E50DB0">
              <w:rPr>
                <w:color w:val="000000" w:themeColor="text1"/>
                <w:sz w:val="24"/>
                <w:szCs w:val="24"/>
                <w:lang w:val="ru-RU"/>
              </w:rPr>
              <w:t>проєктний</w:t>
            </w:r>
          </w:p>
        </w:tc>
        <w:tc>
          <w:tcPr>
            <w:tcW w:w="6100" w:type="dxa"/>
            <w:shd w:val="clear" w:color="auto" w:fill="FFFFFF"/>
          </w:tcPr>
          <w:p w14:paraId="401F952D" w14:textId="3FE15941" w:rsidR="00F26E4B" w:rsidRDefault="00F26E4B" w:rsidP="00F26E4B">
            <w:pPr>
              <w:pStyle w:val="a4"/>
              <w:shd w:val="clear" w:color="auto" w:fill="auto"/>
              <w:ind w:right="139"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</w:p>
          <w:p w14:paraId="4329E99B" w14:textId="50FA6E01" w:rsidR="00F26E4B" w:rsidRPr="00F26E4B" w:rsidRDefault="00F26E4B" w:rsidP="00F26E4B">
            <w:pPr>
              <w:pStyle w:val="a4"/>
              <w:shd w:val="clear" w:color="auto" w:fill="auto"/>
              <w:ind w:left="139" w:right="139" w:firstLine="1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F26E4B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03.15 - </w:t>
            </w:r>
            <w:r w:rsidRPr="00F26E4B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  <w:p w14:paraId="00510D62" w14:textId="77777777" w:rsidR="00F26E4B" w:rsidRPr="00E50DB0" w:rsidRDefault="00F26E4B" w:rsidP="00F26E4B">
            <w:pPr>
              <w:pStyle w:val="a4"/>
              <w:shd w:val="clear" w:color="auto" w:fill="auto"/>
              <w:ind w:right="139"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</w:p>
          <w:p w14:paraId="2C0E34F3" w14:textId="4355319F" w:rsidR="00F26E4B" w:rsidRPr="0071423D" w:rsidRDefault="00F26E4B" w:rsidP="00F26E4B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71423D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11.02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71423D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  <w:p w14:paraId="217CE1B1" w14:textId="77777777" w:rsidR="00F26E4B" w:rsidRPr="00AC6C1F" w:rsidRDefault="00F26E4B" w:rsidP="00F26E4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</w:p>
        </w:tc>
      </w:tr>
      <w:tr w:rsidR="00F26E4B" w14:paraId="1EAAAE5B" w14:textId="77777777" w:rsidTr="003F2541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D2671AF" w14:textId="77777777" w:rsidR="00F26E4B" w:rsidRPr="00B30291" w:rsidRDefault="00F26E4B" w:rsidP="003F254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6E3F748" w14:textId="6B617FF4" w:rsidR="00F26E4B" w:rsidRPr="00B92A23" w:rsidRDefault="00F26E4B" w:rsidP="003F2541">
            <w:pPr>
              <w:pStyle w:val="a4"/>
              <w:ind w:left="140"/>
              <w:rPr>
                <w:rStyle w:val="ac"/>
                <w:iCs w:val="0"/>
                <w:sz w:val="24"/>
                <w:szCs w:val="24"/>
                <w:lang w:val="uk-UA"/>
              </w:rPr>
            </w:pPr>
            <w:r>
              <w:rPr>
                <w:rStyle w:val="ac"/>
                <w:iCs w:val="0"/>
                <w:sz w:val="24"/>
                <w:szCs w:val="24"/>
                <w:lang w:val="uk-UA"/>
              </w:rPr>
              <w:t>і</w:t>
            </w:r>
            <w:r w:rsidRPr="004F46DF">
              <w:rPr>
                <w:rStyle w:val="ac"/>
                <w:iCs w:val="0"/>
                <w:sz w:val="24"/>
                <w:szCs w:val="24"/>
                <w:lang w:val="uk-UA"/>
              </w:rPr>
              <w:t>снуюча</w:t>
            </w:r>
            <w:r>
              <w:rPr>
                <w:rStyle w:val="ac"/>
                <w:iCs w:val="0"/>
                <w:sz w:val="24"/>
                <w:szCs w:val="24"/>
                <w:lang w:val="uk-UA"/>
              </w:rPr>
              <w:t xml:space="preserve"> - </w:t>
            </w:r>
            <w:r w:rsidR="00B92A23" w:rsidRPr="00B92A23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2 592 498</w:t>
            </w:r>
            <w:r w:rsidRPr="00B92A23">
              <w:rPr>
                <w:rStyle w:val="ac"/>
                <w:iCs w:val="0"/>
                <w:sz w:val="24"/>
                <w:szCs w:val="24"/>
                <w:lang w:val="uk-UA"/>
              </w:rPr>
              <w:t xml:space="preserve"> грн </w:t>
            </w:r>
            <w:r w:rsidR="00B92A23" w:rsidRPr="00B92A23">
              <w:rPr>
                <w:rStyle w:val="ac"/>
                <w:iCs w:val="0"/>
                <w:sz w:val="24"/>
                <w:szCs w:val="24"/>
              </w:rPr>
              <w:t>75</w:t>
            </w:r>
            <w:r w:rsidRPr="00B92A23">
              <w:rPr>
                <w:rStyle w:val="ac"/>
                <w:iCs w:val="0"/>
                <w:sz w:val="24"/>
                <w:szCs w:val="24"/>
                <w:lang w:val="uk-UA"/>
              </w:rPr>
              <w:t xml:space="preserve"> коп.</w:t>
            </w:r>
          </w:p>
          <w:p w14:paraId="42923B2E" w14:textId="41519FFC" w:rsidR="00F26E4B" w:rsidRPr="004F46DF" w:rsidRDefault="00F26E4B" w:rsidP="003F2541">
            <w:pPr>
              <w:pStyle w:val="a4"/>
              <w:ind w:left="140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B92A23">
              <w:rPr>
                <w:rStyle w:val="ac"/>
                <w:iCs w:val="0"/>
                <w:sz w:val="24"/>
                <w:szCs w:val="24"/>
                <w:lang w:val="uk-UA"/>
              </w:rPr>
              <w:t xml:space="preserve">проєктна – </w:t>
            </w:r>
            <w:r w:rsidR="00B92A23" w:rsidRPr="00B92A23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4 444 283 </w:t>
            </w:r>
            <w:r w:rsidRPr="00B92A23">
              <w:rPr>
                <w:rStyle w:val="ac"/>
                <w:iCs w:val="0"/>
                <w:sz w:val="24"/>
                <w:szCs w:val="24"/>
                <w:lang w:val="uk-UA"/>
              </w:rPr>
              <w:t>грн</w:t>
            </w:r>
            <w:r>
              <w:rPr>
                <w:rStyle w:val="ac"/>
                <w:iCs w:val="0"/>
                <w:sz w:val="24"/>
                <w:szCs w:val="24"/>
                <w:lang w:val="uk-UA"/>
              </w:rPr>
              <w:t xml:space="preserve"> </w:t>
            </w:r>
            <w:r w:rsidR="00B92A23">
              <w:rPr>
                <w:rStyle w:val="ac"/>
                <w:iCs w:val="0"/>
                <w:sz w:val="24"/>
                <w:szCs w:val="24"/>
              </w:rPr>
              <w:t>58</w:t>
            </w:r>
            <w:r w:rsidRPr="004F46DF">
              <w:rPr>
                <w:rStyle w:val="ac"/>
                <w:iCs w:val="0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c"/>
                <w:iCs w:val="0"/>
                <w:sz w:val="24"/>
                <w:szCs w:val="24"/>
                <w:lang w:val="uk-UA"/>
              </w:rPr>
              <w:t>.</w:t>
            </w:r>
          </w:p>
          <w:p w14:paraId="7EF52C1F" w14:textId="77777777" w:rsidR="00F26E4B" w:rsidRPr="00AF6181" w:rsidRDefault="00F26E4B" w:rsidP="003F254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E12A479" w14:textId="77777777" w:rsidR="00F26E4B" w:rsidRDefault="00F26E4B" w:rsidP="00F26E4B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землеустрою щодо відведення земельної ділянки </w:t>
      </w:r>
      <w:r>
        <w:rPr>
          <w:i w:val="0"/>
          <w:color w:val="000000" w:themeColor="text1"/>
          <w:sz w:val="24"/>
          <w:szCs w:val="24"/>
          <w:lang w:val="uk-UA"/>
        </w:rPr>
        <w:t>(зміна цільового призначення земельної ділянки)</w:t>
      </w:r>
      <w:r>
        <w:rPr>
          <w:i w:val="0"/>
          <w:sz w:val="24"/>
          <w:szCs w:val="24"/>
          <w:lang w:val="uk-UA"/>
        </w:rPr>
        <w:t xml:space="preserve">, на підставі якого та відповідно до Земельного кодексу України та Порядку набуття </w:t>
      </w:r>
      <w:r>
        <w:rPr>
          <w:i w:val="0"/>
          <w:sz w:val="24"/>
          <w:szCs w:val="24"/>
          <w:lang w:val="uk-UA"/>
        </w:rPr>
        <w:lastRenderedPageBreak/>
        <w:t>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4A11080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FE66AD" w:rsidRPr="00FE66AD">
        <w:rPr>
          <w:i w:val="0"/>
          <w:sz w:val="24"/>
          <w:szCs w:val="24"/>
        </w:rPr>
        <w:t>зміну цільового призначення земельної ділянки</w:t>
      </w:r>
      <w:r w:rsidRPr="00B30291">
        <w:rPr>
          <w:i w:val="0"/>
          <w:sz w:val="24"/>
          <w:szCs w:val="24"/>
          <w:lang w:val="ru-RU"/>
        </w:rPr>
        <w:t>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732E11">
        <w:trPr>
          <w:cantSplit/>
          <w:trHeight w:val="2336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1622E390" w:rsidR="00B30291" w:rsidRPr="00F336A8" w:rsidRDefault="00F26E4B" w:rsidP="00B168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hAnsi="Times New Roman" w:cs="Times New Roman"/>
                <w:i/>
              </w:rPr>
              <w:t>адміністративно-складською будівлею</w:t>
            </w:r>
            <w:r w:rsidR="00B168A4">
              <w:rPr>
                <w:rFonts w:ascii="Times New Roman" w:hAnsi="Times New Roman" w:cs="Times New Roman"/>
                <w:i/>
              </w:rPr>
              <w:t xml:space="preserve"> загальною</w:t>
            </w:r>
            <w:r>
              <w:rPr>
                <w:rFonts w:ascii="Times New Roman" w:hAnsi="Times New Roman" w:cs="Times New Roman"/>
                <w:i/>
              </w:rPr>
              <w:t xml:space="preserve"> площею </w:t>
            </w:r>
            <w:r w:rsidR="00B168A4">
              <w:rPr>
                <w:rFonts w:ascii="Times New Roman" w:hAnsi="Times New Roman" w:cs="Times New Roman"/>
                <w:i/>
              </w:rPr>
              <w:t>2060,3 кв.м</w:t>
            </w:r>
            <w:r>
              <w:rPr>
                <w:rFonts w:ascii="Times New Roman" w:hAnsi="Times New Roman" w:cs="Times New Roman"/>
                <w:i/>
              </w:rPr>
              <w:t xml:space="preserve">, яка перебуває у </w:t>
            </w:r>
            <w:r w:rsidRPr="00B168A4">
              <w:rPr>
                <w:rFonts w:ascii="Times New Roman" w:hAnsi="Times New Roman" w:cs="Times New Roman"/>
                <w:i/>
              </w:rPr>
              <w:t>приватні</w:t>
            </w:r>
            <w:r w:rsidR="00B168A4">
              <w:rPr>
                <w:rFonts w:ascii="Times New Roman" w:hAnsi="Times New Roman" w:cs="Times New Roman"/>
                <w:i/>
              </w:rPr>
              <w:t xml:space="preserve">й власності </w:t>
            </w:r>
            <w:r w:rsidR="00B168A4" w:rsidRPr="00B168A4">
              <w:rPr>
                <w:rFonts w:ascii="Times New Roman" w:hAnsi="Times New Roman" w:cs="Times New Roman"/>
                <w:i/>
              </w:rPr>
              <w:t>ПП «ГОЛДЕН-ФАРМ»</w:t>
            </w:r>
            <w:r w:rsidRPr="00B168A4">
              <w:rPr>
                <w:rFonts w:ascii="Times New Roman" w:hAnsi="Times New Roman" w:cs="Times New Roman"/>
                <w:i/>
              </w:rPr>
              <w:t xml:space="preserve">, право власності 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27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номер 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відомостей про речове п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раво 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35282662</w:t>
            </w:r>
            <w:r w:rsidRPr="00B168A4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</w:t>
            </w:r>
            <w:r w:rsidR="00B168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7.0</w:t>
            </w:r>
            <w:r w:rsidR="00B168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.202</w:t>
            </w:r>
            <w:r w:rsidR="00B168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№ </w:t>
            </w:r>
            <w:r w:rsidR="00B168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340613757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="00B168A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29DEE27E" w14:textId="77777777" w:rsidTr="00732E11">
        <w:trPr>
          <w:cantSplit/>
          <w:trHeight w:val="41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3FE8AFA" w:rsidR="00B30291" w:rsidRPr="00F336A8" w:rsidRDefault="00B30291" w:rsidP="00732E1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4D5204D0" w:rsidR="00B30291" w:rsidRPr="00F336A8" w:rsidRDefault="00B30291" w:rsidP="00B168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B168A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B168A4">
              <w:rPr>
                <w:rFonts w:ascii="Times New Roman" w:eastAsia="Times New Roman" w:hAnsi="Times New Roman" w:cs="Times New Roman"/>
                <w:i/>
              </w:rPr>
              <w:t>промислові (існуючі).</w:t>
            </w:r>
          </w:p>
        </w:tc>
      </w:tr>
      <w:tr w:rsidR="00B30291" w:rsidRPr="0070402C" w14:paraId="2EE01223" w14:textId="77777777" w:rsidTr="00B168A4">
        <w:trPr>
          <w:cantSplit/>
          <w:trHeight w:val="675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6BCD480" w:rsidR="00B30291" w:rsidRPr="00AD604C" w:rsidRDefault="00B30291" w:rsidP="00732E11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168A4" w:rsidRPr="0070402C" w14:paraId="3C81F167" w14:textId="77777777" w:rsidTr="00AC6C1F">
        <w:trPr>
          <w:cantSplit/>
          <w:trHeight w:val="282"/>
        </w:trPr>
        <w:tc>
          <w:tcPr>
            <w:tcW w:w="3260" w:type="dxa"/>
          </w:tcPr>
          <w:p w14:paraId="6B657E75" w14:textId="050A9562" w:rsidR="00B168A4" w:rsidRDefault="00B168A4" w:rsidP="00B168A4">
            <w:pPr>
              <w:ind w:left="-113" w:firstLine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4D5FB81" w14:textId="4627CCC8" w:rsidR="00B168A4" w:rsidRPr="00732E11" w:rsidRDefault="00B168A4" w:rsidP="00B168A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 </w:t>
            </w:r>
            <w:r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 від 10.0</w:t>
            </w:r>
            <w:r w:rsidR="00B92A23"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9</w:t>
            </w:r>
            <w:r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</w:t>
            </w:r>
            <w:r w:rsidR="00B92A23"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15</w:t>
            </w:r>
            <w:r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B92A23" w:rsidRPr="00B92A23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993/1857</w:t>
            </w:r>
            <w:r w:rsidR="00B92A23" w:rsidRPr="00B92A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передано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>ПП «ГОЛДЕН-ФАРМ»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>в оренду на 5 років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земельну ділянку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0,2918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 (кадастровий номер 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8000000000:62:068:0083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 xml:space="preserve">) на 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вул. Магнітогорській (нині</w:t>
            </w:r>
            <w:r w:rsidR="00FE66A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FE66A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вул. 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Якова Гніздовського), 1 (літ.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XXVI)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 xml:space="preserve">у </w:t>
            </w:r>
            <w:r w:rsidR="00B92A23" w:rsidRPr="00732E1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Деснянському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районі міста Києва</w:t>
            </w:r>
            <w:r w:rsidR="00B92A23"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(договір оренди земельної ділянки </w:t>
            </w:r>
            <w:r w:rsidR="00732E11"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                          </w:t>
            </w:r>
            <w:r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від </w:t>
            </w:r>
            <w:r w:rsidR="00B92A23" w:rsidRPr="00732E11">
              <w:rPr>
                <w:rFonts w:ascii="Times New Roman" w:hAnsi="Times New Roman" w:cs="Times New Roman"/>
                <w:i/>
                <w:color w:val="000000" w:themeColor="text1"/>
              </w:rPr>
              <w:t>11.03.2016 № 312</w:t>
            </w:r>
            <w:r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).</w:t>
            </w:r>
          </w:p>
          <w:p w14:paraId="1E440AF6" w14:textId="1B2513EC" w:rsidR="00B92A23" w:rsidRPr="00732E11" w:rsidRDefault="00B92A23" w:rsidP="00B168A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Висновк</w:t>
            </w:r>
            <w:r w:rsidR="00732E11"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ом</w:t>
            </w:r>
            <w:r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постійної комісії </w:t>
            </w:r>
            <w:r w:rsidR="00732E11"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Київської міської ради </w:t>
            </w:r>
            <w:r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 питань містобудування, архітектури та землекористування</w:t>
            </w:r>
            <w:r w:rsidR="00732E11"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3/31 від 23.02.2022</w:t>
            </w:r>
            <w:r w:rsidR="00732E11" w:rsidRPr="00732E1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 поновлено на 5 років </w:t>
            </w:r>
            <w:r w:rsidR="00732E11" w:rsidRPr="00732E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договір оренди земельної ділянки від </w:t>
            </w:r>
            <w:r w:rsidR="00732E11" w:rsidRPr="00732E11">
              <w:rPr>
                <w:rFonts w:ascii="Times New Roman" w:hAnsi="Times New Roman" w:cs="Times New Roman"/>
                <w:i/>
                <w:color w:val="000000" w:themeColor="text1"/>
              </w:rPr>
              <w:t>11.03.2016                 № 312 та укладено договір про укладання договору оренди земельної ділянки на новий строк від 13.12.2022 № 561.</w:t>
            </w:r>
          </w:p>
          <w:p w14:paraId="691CBAFE" w14:textId="3D8B2F68" w:rsidR="00B168A4" w:rsidRDefault="00732E11" w:rsidP="00B168A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2E11">
              <w:rPr>
                <w:rFonts w:ascii="Times New Roman" w:hAnsi="Times New Roman" w:cs="Times New Roman"/>
                <w:i/>
                <w:color w:val="000000" w:themeColor="text1"/>
              </w:rPr>
              <w:t>ПП «ГОЛДЕН-ФАРМ»</w:t>
            </w:r>
            <w:r w:rsidRPr="00732E11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надано нотаріальну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заяву-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згоду                    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16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203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зміну цільового призначення  земельної ділянки </w:t>
            </w:r>
            <w:r w:rsidRPr="00732E11">
              <w:rPr>
                <w:rFonts w:ascii="Times New Roman" w:hAnsi="Times New Roman" w:cs="Times New Roman"/>
                <w:i/>
                <w:color w:val="000000" w:themeColor="text1"/>
              </w:rPr>
              <w:t>ПП «ГОЛДЕН-ФАРМ»</w:t>
            </w:r>
            <w:r w:rsidR="00B168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FB1366E" w14:textId="3B126BEB" w:rsidR="00B168A4" w:rsidRPr="00AD604C" w:rsidRDefault="00732E11" w:rsidP="00FE66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зміну цільового призначення  </w:t>
            </w:r>
            <w:r w:rsidRPr="00C04B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земельної ділянки </w:t>
            </w:r>
            <w:r w:rsidRPr="00C04B24">
              <w:rPr>
                <w:rFonts w:ascii="Times New Roman" w:hAnsi="Times New Roman" w:cs="Times New Roman"/>
                <w:i/>
              </w:rPr>
              <w:t>або відмову,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3036B936" w:rsidR="00B30291" w:rsidRPr="00AC6C1F" w:rsidRDefault="00D77F52" w:rsidP="00B168A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14:paraId="78B41C15" w14:textId="5584A622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732E11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4ED9B5EE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732E11">
        <w:rPr>
          <w:i w:val="0"/>
          <w:sz w:val="24"/>
          <w:szCs w:val="24"/>
          <w:lang w:val="ru-RU"/>
        </w:rPr>
        <w:t xml:space="preserve">         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395F3725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732E11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5271DF24" w14:textId="760003D9" w:rsidR="00732E11" w:rsidRPr="00E33CC8" w:rsidRDefault="0098267F" w:rsidP="00732E11">
      <w:pPr>
        <w:pStyle w:val="1"/>
        <w:tabs>
          <w:tab w:val="left" w:pos="709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B96FCD" w:rsidRPr="00B96FCD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1A7756" w:rsidRPr="001A7756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732E11" w:rsidRPr="002B1785">
        <w:rPr>
          <w:b/>
          <w:i w:val="0"/>
          <w:sz w:val="24"/>
          <w:szCs w:val="24"/>
          <w:u w:val="single"/>
          <w:lang w:val="ru-RU"/>
        </w:rPr>
        <w:t>існуюча</w:t>
      </w:r>
      <w:r w:rsidR="00732E11">
        <w:rPr>
          <w:b/>
          <w:i w:val="0"/>
          <w:sz w:val="24"/>
          <w:szCs w:val="24"/>
          <w:u w:val="single"/>
          <w:lang w:val="ru-RU"/>
        </w:rPr>
        <w:t xml:space="preserve"> - </w:t>
      </w:r>
      <w:r w:rsidR="00732E11" w:rsidRPr="00732E11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259 </w:t>
      </w:r>
      <w:r w:rsidR="00BE6958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249</w:t>
      </w:r>
      <w:r w:rsidR="00732E11" w:rsidRPr="00BE6958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732E11" w:rsidRPr="00D70FBC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BE6958">
        <w:rPr>
          <w:b/>
          <w:i w:val="0"/>
          <w:sz w:val="24"/>
          <w:szCs w:val="24"/>
          <w:u w:val="single"/>
          <w:lang w:val="ru-RU"/>
        </w:rPr>
        <w:t>88</w:t>
      </w:r>
      <w:r w:rsidR="00732E11" w:rsidRPr="00D70FBC">
        <w:rPr>
          <w:b/>
          <w:i w:val="0"/>
          <w:sz w:val="24"/>
          <w:szCs w:val="24"/>
          <w:u w:val="single"/>
          <w:lang w:val="ru-RU"/>
        </w:rPr>
        <w:t xml:space="preserve"> коп</w:t>
      </w:r>
      <w:r w:rsidR="00732E11">
        <w:rPr>
          <w:b/>
          <w:i w:val="0"/>
          <w:sz w:val="24"/>
          <w:szCs w:val="24"/>
          <w:u w:val="single"/>
          <w:lang w:val="ru-RU"/>
        </w:rPr>
        <w:t>.</w:t>
      </w:r>
      <w:r w:rsidR="00732E11" w:rsidRPr="00D70FBC">
        <w:rPr>
          <w:b/>
          <w:i w:val="0"/>
          <w:sz w:val="24"/>
          <w:szCs w:val="24"/>
          <w:u w:val="single"/>
          <w:lang w:val="ru-RU"/>
        </w:rPr>
        <w:t xml:space="preserve">   (</w:t>
      </w:r>
      <w:r w:rsidR="00732E11">
        <w:rPr>
          <w:b/>
          <w:i w:val="0"/>
          <w:sz w:val="24"/>
          <w:szCs w:val="24"/>
          <w:u w:val="single"/>
          <w:lang w:val="ru-RU"/>
        </w:rPr>
        <w:t>10</w:t>
      </w:r>
      <w:r w:rsidR="00732E11" w:rsidRPr="00D70FBC">
        <w:rPr>
          <w:b/>
          <w:i w:val="0"/>
          <w:sz w:val="24"/>
          <w:szCs w:val="24"/>
          <w:u w:val="single"/>
          <w:lang w:val="ru-RU"/>
        </w:rPr>
        <w:t>%)</w:t>
      </w:r>
      <w:r w:rsidR="00732E11">
        <w:rPr>
          <w:b/>
          <w:i w:val="0"/>
          <w:sz w:val="24"/>
          <w:szCs w:val="24"/>
          <w:u w:val="single"/>
          <w:lang w:val="ru-RU"/>
        </w:rPr>
        <w:t xml:space="preserve">, проєктна - </w:t>
      </w:r>
      <w:r w:rsidR="00BE6958" w:rsidRPr="00BE6958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133</w:t>
      </w:r>
      <w:r w:rsidR="00BE6958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="00BE6958" w:rsidRPr="00BE6958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328</w:t>
      </w:r>
      <w:r w:rsidR="00BE6958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="00732E11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BE6958">
        <w:rPr>
          <w:b/>
          <w:i w:val="0"/>
          <w:sz w:val="24"/>
          <w:szCs w:val="24"/>
          <w:u w:val="single"/>
          <w:lang w:val="ru-RU"/>
        </w:rPr>
        <w:t>51</w:t>
      </w:r>
      <w:r w:rsidR="00732E11">
        <w:rPr>
          <w:b/>
          <w:i w:val="0"/>
          <w:sz w:val="24"/>
          <w:szCs w:val="24"/>
          <w:u w:val="single"/>
          <w:lang w:val="ru-RU"/>
        </w:rPr>
        <w:t xml:space="preserve"> коп. </w:t>
      </w:r>
      <w:r w:rsidR="00732E11" w:rsidRPr="00173F07">
        <w:rPr>
          <w:b/>
          <w:i w:val="0"/>
          <w:sz w:val="24"/>
          <w:szCs w:val="24"/>
          <w:u w:val="single"/>
          <w:lang w:val="ru-RU"/>
        </w:rPr>
        <w:t xml:space="preserve"> (</w:t>
      </w:r>
      <w:r w:rsidR="00732E11">
        <w:rPr>
          <w:b/>
          <w:i w:val="0"/>
          <w:sz w:val="24"/>
          <w:szCs w:val="24"/>
          <w:u w:val="single"/>
          <w:lang w:val="ru-RU"/>
        </w:rPr>
        <w:t>3</w:t>
      </w:r>
      <w:r w:rsidR="00732E11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D604C">
        <w:rPr>
          <w:b/>
          <w:i w:val="0"/>
          <w:iCs w:val="0"/>
          <w:sz w:val="20"/>
          <w:szCs w:val="20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55608931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737C1296" w14:textId="11EEC012" w:rsidR="00BE6958" w:rsidRDefault="00BE6958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0F4B2246" w14:textId="77777777" w:rsidR="00BE6958" w:rsidRDefault="00BE6958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732E11">
      <w:headerReference w:type="default" r:id="rId11"/>
      <w:footerReference w:type="default" r:id="rId12"/>
      <w:pgSz w:w="11907" w:h="16839" w:code="9"/>
      <w:pgMar w:top="993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338273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ПЗН-56830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27.07.2023</w:t>
        </w:r>
        <w:r w:rsidR="0012494D" w:rsidRPr="00800A09">
          <w:rPr>
            <w:i w:val="0"/>
            <w:sz w:val="12"/>
            <w:szCs w:val="12"/>
          </w:rPr>
          <w:t xml:space="preserve"> до клопотання 494392370</w:t>
        </w:r>
      </w:p>
      <w:p w14:paraId="3386C57A" w14:textId="0DA98155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06FED" w:rsidRPr="00F06FE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F06FE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1C46"/>
    <w:rsid w:val="00173F07"/>
    <w:rsid w:val="00174E19"/>
    <w:rsid w:val="001A7756"/>
    <w:rsid w:val="001D3A82"/>
    <w:rsid w:val="00202024"/>
    <w:rsid w:val="002370D1"/>
    <w:rsid w:val="00265722"/>
    <w:rsid w:val="002678BE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65190A"/>
    <w:rsid w:val="006A34C6"/>
    <w:rsid w:val="007033CD"/>
    <w:rsid w:val="00706695"/>
    <w:rsid w:val="00725C6A"/>
    <w:rsid w:val="007312B1"/>
    <w:rsid w:val="00732E1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168A4"/>
    <w:rsid w:val="00B30291"/>
    <w:rsid w:val="00B84B97"/>
    <w:rsid w:val="00B92A23"/>
    <w:rsid w:val="00B96FCD"/>
    <w:rsid w:val="00BE6958"/>
    <w:rsid w:val="00C04B24"/>
    <w:rsid w:val="00C20204"/>
    <w:rsid w:val="00C30C98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06FED"/>
    <w:rsid w:val="00F26E4B"/>
    <w:rsid w:val="00F54A05"/>
    <w:rsid w:val="00F60E6B"/>
    <w:rsid w:val="00F72AE2"/>
    <w:rsid w:val="00F801D8"/>
    <w:rsid w:val="00FE66A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F26E4B"/>
  </w:style>
  <w:style w:type="paragraph" w:styleId="af2">
    <w:name w:val="Normal (Web)"/>
    <w:basedOn w:val="a"/>
    <w:uiPriority w:val="99"/>
    <w:semiHidden/>
    <w:unhideWhenUsed/>
    <w:rsid w:val="00F26E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F26E4B"/>
  </w:style>
  <w:style w:type="character" w:styleId="af3">
    <w:name w:val="Hyperlink"/>
    <w:basedOn w:val="a0"/>
    <w:uiPriority w:val="99"/>
    <w:semiHidden/>
    <w:unhideWhenUsed/>
    <w:rsid w:val="00F2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9470-CCF6-43DD-B010-8181D2DE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6616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2023-08-08T10:26:00Z</cp:lastPrinted>
  <dcterms:created xsi:type="dcterms:W3CDTF">2023-08-18T08:18:00Z</dcterms:created>
  <dcterms:modified xsi:type="dcterms:W3CDTF">2023-08-18T08:18:00Z</dcterms:modified>
</cp:coreProperties>
</file>