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453274175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453274175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7746E1F7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D00F41">
        <w:rPr>
          <w:b/>
          <w:bCs/>
          <w:sz w:val="24"/>
          <w:szCs w:val="24"/>
          <w:lang w:val="ru-RU"/>
        </w:rPr>
        <w:t>ПЗН-78785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D00F41">
        <w:rPr>
          <w:b/>
          <w:bCs/>
          <w:sz w:val="24"/>
          <w:szCs w:val="24"/>
          <w:lang w:val="ru-RU"/>
        </w:rPr>
        <w:t>05.03.2025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proofErr w:type="spellStart"/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</w:t>
      </w:r>
      <w:proofErr w:type="spellEnd"/>
      <w:r w:rsidRPr="003774B2">
        <w:rPr>
          <w:sz w:val="24"/>
          <w:szCs w:val="24"/>
        </w:rPr>
        <w:t xml:space="preserve">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2C50B0C0" w:rsidR="00E17376" w:rsidRDefault="00020D8E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b/>
          <w:bCs/>
          <w:i/>
          <w:sz w:val="24"/>
          <w:szCs w:val="24"/>
        </w:rPr>
      </w:pPr>
      <w:r w:rsidRPr="00020D8E">
        <w:rPr>
          <w:b/>
          <w:bCs/>
          <w:i/>
          <w:sz w:val="24"/>
          <w:szCs w:val="24"/>
        </w:rPr>
        <w:t xml:space="preserve">Про передачу громадянці </w:t>
      </w:r>
      <w:proofErr w:type="spellStart"/>
      <w:r w:rsidRPr="00020D8E">
        <w:rPr>
          <w:b/>
          <w:bCs/>
          <w:i/>
          <w:sz w:val="24"/>
          <w:szCs w:val="24"/>
        </w:rPr>
        <w:t>Воротинській</w:t>
      </w:r>
      <w:proofErr w:type="spellEnd"/>
      <w:r w:rsidRPr="00020D8E">
        <w:rPr>
          <w:b/>
          <w:bCs/>
          <w:i/>
          <w:sz w:val="24"/>
          <w:szCs w:val="24"/>
        </w:rPr>
        <w:t xml:space="preserve"> Любові Олександрівні у приватну власність земельної ділянки для будівництва і обслуговування жилого будинку, господарських будівель і споруд (присадибна ділянка) на вул. Яровій, 51  у Солом'янському районі міста Києва</w:t>
      </w:r>
    </w:p>
    <w:p w14:paraId="2E999117" w14:textId="77777777" w:rsidR="00020D8E" w:rsidRPr="00017578" w:rsidRDefault="00020D8E" w:rsidP="003774B2">
      <w:pPr>
        <w:pStyle w:val="1"/>
        <w:shd w:val="clear" w:color="auto" w:fill="auto"/>
        <w:spacing w:after="0" w:line="226" w:lineRule="auto"/>
        <w:ind w:right="2271" w:firstLine="142"/>
        <w:jc w:val="center"/>
        <w:rPr>
          <w:i/>
          <w:sz w:val="10"/>
          <w:szCs w:val="10"/>
        </w:rPr>
      </w:pP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6245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Воротинська</w:t>
            </w:r>
            <w:proofErr w:type="spellEnd"/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Любов</w:t>
            </w:r>
            <w:proofErr w:type="spellEnd"/>
            <w:r w:rsidRPr="003774B2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74B2">
              <w:rPr>
                <w:b/>
                <w:i/>
                <w:sz w:val="24"/>
                <w:szCs w:val="24"/>
                <w:lang w:val="ru-RU"/>
              </w:rPr>
              <w:t>Олександрівна</w:t>
            </w:r>
            <w:proofErr w:type="spellEnd"/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43859AD9" w:rsidR="00E659C4" w:rsidRDefault="00020D8E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Заява</w:t>
            </w:r>
            <w:r w:rsidR="00E659C4" w:rsidRPr="003774B2">
              <w:rPr>
                <w:i/>
                <w:sz w:val="24"/>
                <w:szCs w:val="24"/>
              </w:rPr>
              <w:t xml:space="preserve">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03.03.2025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453274175</w:t>
            </w:r>
          </w:p>
        </w:tc>
      </w:tr>
    </w:tbl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0B07FA8E" w14:textId="697C2C28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="00020D8E">
        <w:rPr>
          <w:sz w:val="24"/>
          <w:szCs w:val="24"/>
        </w:rPr>
        <w:t>номер</w:t>
      </w:r>
      <w:r w:rsidRPr="003774B2">
        <w:rPr>
          <w:sz w:val="24"/>
          <w:szCs w:val="24"/>
        </w:rPr>
        <w:t xml:space="preserve"> </w:t>
      </w:r>
      <w:r w:rsidR="00765699" w:rsidRPr="003774B2">
        <w:rPr>
          <w:sz w:val="24"/>
          <w:szCs w:val="24"/>
        </w:rPr>
        <w:t>8000000000:72:192:0006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10"/>
        <w:gridCol w:w="6211"/>
      </w:tblGrid>
      <w:tr w:rsidR="00E659C4" w14:paraId="4ACF000F" w14:textId="77777777" w:rsidTr="001946C9">
        <w:tc>
          <w:tcPr>
            <w:tcW w:w="3310" w:type="dxa"/>
          </w:tcPr>
          <w:p w14:paraId="1A40ED4E" w14:textId="77777777" w:rsidR="00020D8E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Місце розташування </w:t>
            </w:r>
          </w:p>
          <w:p w14:paraId="769D59FF" w14:textId="46648B4D" w:rsidR="00E659C4" w:rsidRDefault="00E659C4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 w:rsidRPr="003774B2">
              <w:rPr>
                <w:b w:val="0"/>
                <w:i/>
                <w:sz w:val="24"/>
                <w:szCs w:val="24"/>
              </w:rPr>
              <w:t>(адреса):</w:t>
            </w:r>
          </w:p>
        </w:tc>
        <w:tc>
          <w:tcPr>
            <w:tcW w:w="6211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Ярова, 51  у Солом'янському районі міста Києва </w:t>
            </w:r>
          </w:p>
        </w:tc>
      </w:tr>
      <w:tr w:rsidR="00E659C4" w14:paraId="7FA17F85" w14:textId="77777777" w:rsidTr="001946C9">
        <w:tc>
          <w:tcPr>
            <w:tcW w:w="3310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211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0,0609 га</w:t>
            </w:r>
          </w:p>
        </w:tc>
      </w:tr>
      <w:tr w:rsidR="001946C9" w14:paraId="34526A38" w14:textId="77777777" w:rsidTr="001946C9">
        <w:tc>
          <w:tcPr>
            <w:tcW w:w="3310" w:type="dxa"/>
          </w:tcPr>
          <w:p w14:paraId="71A6030E" w14:textId="2AEB9194" w:rsidR="001946C9" w:rsidRDefault="001946C9" w:rsidP="001946C9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>Категорія земель:</w:t>
            </w:r>
          </w:p>
        </w:tc>
        <w:tc>
          <w:tcPr>
            <w:tcW w:w="6211" w:type="dxa"/>
          </w:tcPr>
          <w:p w14:paraId="08D0261A" w14:textId="74FD02A2" w:rsidR="001946C9" w:rsidRPr="00EA27C8" w:rsidRDefault="001946C9" w:rsidP="001946C9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9E19FB">
              <w:rPr>
                <w:rStyle w:val="af"/>
                <w:b w:val="0"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1946C9" w14:paraId="31D36722" w14:textId="77777777" w:rsidTr="001946C9">
        <w:tc>
          <w:tcPr>
            <w:tcW w:w="3310" w:type="dxa"/>
          </w:tcPr>
          <w:p w14:paraId="58C1B7B7" w14:textId="2283B06D" w:rsidR="001946C9" w:rsidRDefault="001946C9" w:rsidP="001946C9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 xml:space="preserve">Вид та термін користування:                    </w:t>
            </w:r>
          </w:p>
        </w:tc>
        <w:tc>
          <w:tcPr>
            <w:tcW w:w="6211" w:type="dxa"/>
          </w:tcPr>
          <w:p w14:paraId="1AB1CB5D" w14:textId="31140031" w:rsidR="001946C9" w:rsidRPr="00EA27C8" w:rsidRDefault="001946C9" w:rsidP="001946C9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9E19FB">
              <w:rPr>
                <w:b w:val="0"/>
                <w:i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1946C9" w14:paraId="0AAC08B0" w14:textId="77777777" w:rsidTr="001946C9">
        <w:tc>
          <w:tcPr>
            <w:tcW w:w="3310" w:type="dxa"/>
          </w:tcPr>
          <w:p w14:paraId="67583349" w14:textId="77777777" w:rsidR="001946C9" w:rsidRDefault="001946C9" w:rsidP="001946C9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 xml:space="preserve">Цільове призначення   </w:t>
            </w:r>
          </w:p>
          <w:p w14:paraId="0C017DDC" w14:textId="3DB46F68" w:rsidR="001946C9" w:rsidRDefault="001946C9" w:rsidP="001946C9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9E19FB">
              <w:rPr>
                <w:b w:val="0"/>
                <w:i/>
                <w:sz w:val="24"/>
                <w:szCs w:val="24"/>
              </w:rPr>
              <w:t xml:space="preserve">земельної ділянки:                    </w:t>
            </w:r>
          </w:p>
        </w:tc>
        <w:tc>
          <w:tcPr>
            <w:tcW w:w="6211" w:type="dxa"/>
          </w:tcPr>
          <w:p w14:paraId="30460EA1" w14:textId="4E22B43C" w:rsidR="001946C9" w:rsidRPr="00EA27C8" w:rsidRDefault="001946C9" w:rsidP="001946C9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9E19FB">
              <w:rPr>
                <w:b w:val="0"/>
                <w:i/>
                <w:sz w:val="24"/>
                <w:szCs w:val="24"/>
              </w:rPr>
              <w:t xml:space="preserve">02.01 </w:t>
            </w:r>
            <w:r>
              <w:rPr>
                <w:b w:val="0"/>
                <w:i/>
                <w:sz w:val="24"/>
                <w:szCs w:val="24"/>
              </w:rPr>
              <w:t>д</w:t>
            </w:r>
            <w:r w:rsidRPr="009E19FB">
              <w:rPr>
                <w:b w:val="0"/>
                <w:i/>
                <w:sz w:val="24"/>
                <w:szCs w:val="24"/>
              </w:rPr>
              <w:t>ля будівництва і обслуговування жи</w:t>
            </w:r>
            <w:r>
              <w:rPr>
                <w:b w:val="0"/>
                <w:i/>
                <w:sz w:val="24"/>
                <w:szCs w:val="24"/>
              </w:rPr>
              <w:t>т</w:t>
            </w:r>
            <w:r w:rsidRPr="009E19FB">
              <w:rPr>
                <w:b w:val="0"/>
                <w:i/>
                <w:sz w:val="24"/>
                <w:szCs w:val="24"/>
              </w:rPr>
              <w:t>ло</w:t>
            </w:r>
            <w:r>
              <w:rPr>
                <w:b w:val="0"/>
                <w:i/>
                <w:sz w:val="24"/>
                <w:szCs w:val="24"/>
              </w:rPr>
              <w:t>во</w:t>
            </w:r>
            <w:r w:rsidRPr="009E19FB">
              <w:rPr>
                <w:b w:val="0"/>
                <w:i/>
                <w:sz w:val="24"/>
                <w:szCs w:val="24"/>
              </w:rPr>
              <w:t>го будинку, господарських будівель і споруд (присадибна ділянка)</w:t>
            </w:r>
          </w:p>
        </w:tc>
      </w:tr>
    </w:tbl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47F9520E" w14:textId="58B98886" w:rsidR="004F0681" w:rsidRPr="003774B2" w:rsidRDefault="00BA02ED" w:rsidP="00BA02ED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="00EA27C8">
        <w:rPr>
          <w:sz w:val="24"/>
          <w:szCs w:val="24"/>
        </w:rPr>
        <w:t xml:space="preserve">  </w:t>
      </w:r>
      <w:r w:rsidR="006D7DD5">
        <w:rPr>
          <w:sz w:val="24"/>
          <w:szCs w:val="24"/>
        </w:rPr>
        <w:t xml:space="preserve">              </w:t>
      </w:r>
      <w:r w:rsidR="00EA27C8">
        <w:rPr>
          <w:sz w:val="24"/>
          <w:szCs w:val="24"/>
        </w:rPr>
        <w:t xml:space="preserve">        </w:t>
      </w:r>
      <w:r w:rsidRPr="00DF2891">
        <w:rPr>
          <w:sz w:val="24"/>
          <w:szCs w:val="24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B602DB">
        <w:rPr>
          <w:sz w:val="24"/>
          <w:szCs w:val="24"/>
        </w:rPr>
        <w:t>проєкт</w:t>
      </w:r>
      <w:proofErr w:type="spellEnd"/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13E10D78" w:rsidR="004F0681" w:rsidRPr="003774B2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02499919" w14:textId="52C067D1" w:rsidR="00765699" w:rsidRPr="0087528B" w:rsidRDefault="00604821" w:rsidP="00DA78EA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i/>
        </w:rPr>
      </w:pPr>
      <w:r w:rsidRPr="0087528B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a"/>
        <w:tblW w:w="9668" w:type="dxa"/>
        <w:tblInd w:w="-34" w:type="dxa"/>
        <w:tblLook w:val="04A0" w:firstRow="1" w:lastRow="0" w:firstColumn="1" w:lastColumn="0" w:noHBand="0" w:noVBand="1"/>
      </w:tblPr>
      <w:tblGrid>
        <w:gridCol w:w="3462"/>
        <w:gridCol w:w="6206"/>
      </w:tblGrid>
      <w:tr w:rsidR="00E12AC0" w:rsidRPr="003774B2" w14:paraId="4A887E4C" w14:textId="77777777" w:rsidTr="0056418E">
        <w:trPr>
          <w:cantSplit/>
          <w:trHeight w:val="822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206" w:type="dxa"/>
          </w:tcPr>
          <w:p w14:paraId="687E2619" w14:textId="6078AA04" w:rsidR="0087528B" w:rsidRPr="00096F55" w:rsidRDefault="001946C9" w:rsidP="00D34361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На земельній ділянці розташовані: житловий будинок</w:t>
            </w:r>
            <w:r w:rsidR="00243292">
              <w:rPr>
                <w:i/>
                <w:sz w:val="24"/>
                <w:szCs w:val="24"/>
              </w:rPr>
              <w:t xml:space="preserve"> </w:t>
            </w:r>
            <w:r w:rsidR="006D7DD5">
              <w:rPr>
                <w:i/>
                <w:sz w:val="24"/>
                <w:szCs w:val="24"/>
              </w:rPr>
              <w:t xml:space="preserve">садибного типу </w:t>
            </w:r>
            <w:r w:rsidR="00243292">
              <w:rPr>
                <w:i/>
                <w:sz w:val="24"/>
                <w:szCs w:val="24"/>
              </w:rPr>
              <w:t>літ</w:t>
            </w:r>
            <w:r w:rsidR="00D34361">
              <w:rPr>
                <w:i/>
                <w:sz w:val="24"/>
                <w:szCs w:val="24"/>
              </w:rPr>
              <w:t>ера</w:t>
            </w:r>
            <w:r w:rsidR="00243292">
              <w:rPr>
                <w:i/>
                <w:sz w:val="24"/>
                <w:szCs w:val="24"/>
              </w:rPr>
              <w:t xml:space="preserve"> А, </w:t>
            </w:r>
            <w:r>
              <w:rPr>
                <w:i/>
                <w:sz w:val="24"/>
                <w:szCs w:val="24"/>
              </w:rPr>
              <w:t xml:space="preserve">загальною площею 137,8 </w:t>
            </w:r>
            <w:proofErr w:type="spellStart"/>
            <w:r>
              <w:rPr>
                <w:i/>
                <w:sz w:val="24"/>
                <w:szCs w:val="24"/>
              </w:rPr>
              <w:t>кв</w:t>
            </w:r>
            <w:proofErr w:type="spellEnd"/>
            <w:r>
              <w:rPr>
                <w:i/>
                <w:sz w:val="24"/>
                <w:szCs w:val="24"/>
              </w:rPr>
              <w:t xml:space="preserve">. м, </w:t>
            </w:r>
            <w:r w:rsidR="00243292">
              <w:rPr>
                <w:i/>
                <w:sz w:val="24"/>
                <w:szCs w:val="24"/>
              </w:rPr>
              <w:t>погріб літ</w:t>
            </w:r>
            <w:r w:rsidR="00D34361">
              <w:rPr>
                <w:i/>
                <w:sz w:val="24"/>
                <w:szCs w:val="24"/>
              </w:rPr>
              <w:t>ера під</w:t>
            </w:r>
            <w:r w:rsidR="00243292">
              <w:rPr>
                <w:i/>
                <w:sz w:val="24"/>
                <w:szCs w:val="24"/>
              </w:rPr>
              <w:t xml:space="preserve"> А, гараж</w:t>
            </w:r>
            <w:r>
              <w:rPr>
                <w:i/>
                <w:sz w:val="24"/>
                <w:szCs w:val="24"/>
              </w:rPr>
              <w:t xml:space="preserve"> Б, </w:t>
            </w:r>
            <w:r w:rsidR="00243292">
              <w:rPr>
                <w:i/>
                <w:sz w:val="24"/>
                <w:szCs w:val="24"/>
              </w:rPr>
              <w:t>господар</w:t>
            </w:r>
            <w:r w:rsidR="00D34361">
              <w:rPr>
                <w:i/>
                <w:sz w:val="24"/>
                <w:szCs w:val="24"/>
              </w:rPr>
              <w:t>ч</w:t>
            </w:r>
            <w:r w:rsidR="00243292">
              <w:rPr>
                <w:i/>
                <w:sz w:val="24"/>
                <w:szCs w:val="24"/>
              </w:rPr>
              <w:t>ий блок</w:t>
            </w:r>
            <w:r>
              <w:rPr>
                <w:i/>
                <w:sz w:val="24"/>
                <w:szCs w:val="24"/>
              </w:rPr>
              <w:t xml:space="preserve"> В, </w:t>
            </w:r>
            <w:r w:rsidR="00243292">
              <w:rPr>
                <w:i/>
                <w:sz w:val="24"/>
                <w:szCs w:val="24"/>
              </w:rPr>
              <w:t>хвіртка 1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243292">
              <w:rPr>
                <w:i/>
                <w:sz w:val="24"/>
                <w:szCs w:val="24"/>
              </w:rPr>
              <w:t>ворота 2</w:t>
            </w:r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243292">
              <w:rPr>
                <w:i/>
                <w:sz w:val="24"/>
                <w:szCs w:val="24"/>
              </w:rPr>
              <w:t>огорож</w:t>
            </w:r>
            <w:r w:rsidR="00D34361">
              <w:rPr>
                <w:i/>
                <w:sz w:val="24"/>
                <w:szCs w:val="24"/>
              </w:rPr>
              <w:t>и</w:t>
            </w:r>
            <w:proofErr w:type="spellEnd"/>
            <w:r w:rsidR="00243292">
              <w:rPr>
                <w:i/>
                <w:sz w:val="24"/>
                <w:szCs w:val="24"/>
              </w:rPr>
              <w:t xml:space="preserve"> 3,4</w:t>
            </w:r>
            <w:r>
              <w:rPr>
                <w:i/>
                <w:sz w:val="24"/>
                <w:szCs w:val="24"/>
              </w:rPr>
              <w:t xml:space="preserve">, які належать на праві власності гр. </w:t>
            </w:r>
            <w:proofErr w:type="spellStart"/>
            <w:r w:rsidR="00243292">
              <w:rPr>
                <w:i/>
                <w:sz w:val="24"/>
                <w:szCs w:val="24"/>
              </w:rPr>
              <w:t>Воротинській</w:t>
            </w:r>
            <w:proofErr w:type="spellEnd"/>
            <w:r w:rsidR="00243292">
              <w:rPr>
                <w:i/>
                <w:sz w:val="24"/>
                <w:szCs w:val="24"/>
              </w:rPr>
              <w:t xml:space="preserve"> Л.О</w:t>
            </w:r>
            <w:r>
              <w:rPr>
                <w:i/>
                <w:sz w:val="24"/>
                <w:szCs w:val="24"/>
              </w:rPr>
              <w:t>.,</w:t>
            </w:r>
            <w:r w:rsidRPr="00453F46">
              <w:rPr>
                <w:i/>
                <w:sz w:val="24"/>
                <w:szCs w:val="24"/>
              </w:rPr>
              <w:t xml:space="preserve"> дат</w:t>
            </w:r>
            <w:r w:rsidR="00243292">
              <w:rPr>
                <w:i/>
                <w:sz w:val="24"/>
                <w:szCs w:val="24"/>
              </w:rPr>
              <w:t>а</w:t>
            </w:r>
            <w:r w:rsidRPr="00453F46">
              <w:rPr>
                <w:i/>
                <w:sz w:val="24"/>
                <w:szCs w:val="24"/>
              </w:rPr>
              <w:t xml:space="preserve"> державної реєстрації </w:t>
            </w:r>
            <w:r w:rsidR="00243292">
              <w:rPr>
                <w:i/>
                <w:sz w:val="24"/>
                <w:szCs w:val="24"/>
              </w:rPr>
              <w:t>27.11.2024,</w:t>
            </w:r>
            <w:r w:rsidRPr="00453F46">
              <w:rPr>
                <w:i/>
                <w:sz w:val="24"/>
                <w:szCs w:val="24"/>
              </w:rPr>
              <w:t xml:space="preserve">  номер</w:t>
            </w:r>
            <w:r w:rsidR="00243292">
              <w:rPr>
                <w:i/>
                <w:sz w:val="24"/>
                <w:szCs w:val="24"/>
              </w:rPr>
              <w:t>и</w:t>
            </w:r>
            <w:r w:rsidRPr="00453F46">
              <w:rPr>
                <w:i/>
                <w:sz w:val="24"/>
                <w:szCs w:val="24"/>
              </w:rPr>
              <w:t xml:space="preserve"> відомостей про речове право </w:t>
            </w:r>
            <w:r w:rsidR="00243292">
              <w:rPr>
                <w:i/>
                <w:sz w:val="24"/>
                <w:szCs w:val="24"/>
              </w:rPr>
              <w:t>57781632, 57781941, 57751308</w:t>
            </w:r>
            <w:r w:rsidRPr="00453F46">
              <w:rPr>
                <w:i/>
                <w:sz w:val="24"/>
                <w:szCs w:val="24"/>
              </w:rPr>
              <w:t xml:space="preserve"> (інформація з Державного реєстру речових прав на нерухоме майно від </w:t>
            </w:r>
            <w:r w:rsidR="00243292">
              <w:rPr>
                <w:i/>
                <w:sz w:val="24"/>
                <w:szCs w:val="24"/>
              </w:rPr>
              <w:t>04</w:t>
            </w:r>
            <w:r>
              <w:rPr>
                <w:i/>
                <w:sz w:val="24"/>
                <w:szCs w:val="24"/>
              </w:rPr>
              <w:t>.0</w:t>
            </w:r>
            <w:r w:rsidR="00243292">
              <w:rPr>
                <w:i/>
                <w:sz w:val="24"/>
                <w:szCs w:val="24"/>
              </w:rPr>
              <w:t>3</w:t>
            </w:r>
            <w:r w:rsidRPr="00453F46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5</w:t>
            </w:r>
            <w:r w:rsidR="00D34361">
              <w:rPr>
                <w:i/>
                <w:sz w:val="24"/>
                <w:szCs w:val="24"/>
              </w:rPr>
              <w:t xml:space="preserve">    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453F46">
              <w:rPr>
                <w:i/>
                <w:sz w:val="24"/>
                <w:szCs w:val="24"/>
              </w:rPr>
              <w:t xml:space="preserve">№ </w:t>
            </w:r>
            <w:r w:rsidR="00243292">
              <w:rPr>
                <w:i/>
                <w:sz w:val="24"/>
                <w:szCs w:val="24"/>
              </w:rPr>
              <w:t>416104483</w:t>
            </w:r>
            <w:r>
              <w:rPr>
                <w:i/>
                <w:sz w:val="24"/>
                <w:szCs w:val="24"/>
              </w:rPr>
              <w:t>).</w:t>
            </w:r>
          </w:p>
        </w:tc>
      </w:tr>
      <w:tr w:rsidR="00E12AC0" w:rsidRPr="003774B2" w14:paraId="44C55D8C" w14:textId="77777777" w:rsidTr="0056418E">
        <w:trPr>
          <w:cantSplit/>
          <w:trHeight w:val="273"/>
        </w:trPr>
        <w:tc>
          <w:tcPr>
            <w:tcW w:w="3462" w:type="dxa"/>
          </w:tcPr>
          <w:p w14:paraId="7162150E" w14:textId="359B3034" w:rsidR="00E12AC0" w:rsidRPr="00EA27C8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206" w:type="dxa"/>
          </w:tcPr>
          <w:p w14:paraId="5ACEA60E" w14:textId="3115FC54" w:rsidR="00E12AC0" w:rsidRPr="00E12AC0" w:rsidRDefault="00C2624F" w:rsidP="00A66F8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E12AC0" w:rsidRPr="003774B2" w14:paraId="53F755AF" w14:textId="77777777" w:rsidTr="0056418E">
        <w:trPr>
          <w:cantSplit/>
          <w:trHeight w:val="1091"/>
        </w:trPr>
        <w:tc>
          <w:tcPr>
            <w:tcW w:w="3462" w:type="dxa"/>
          </w:tcPr>
          <w:p w14:paraId="05EA1F59" w14:textId="77777777" w:rsidR="00855E2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E12AC0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>з 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06" w:type="dxa"/>
          </w:tcPr>
          <w:p w14:paraId="14888231" w14:textId="6A631037" w:rsidR="00E12AC0" w:rsidRPr="00E12AC0" w:rsidRDefault="00243292" w:rsidP="00336A96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8A3BD1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     від 28.03.2002  № 370/1804</w:t>
            </w:r>
            <w:r w:rsidRPr="008A3BD1">
              <w:rPr>
                <w:i/>
                <w:color w:val="auto"/>
                <w:sz w:val="24"/>
                <w:szCs w:val="24"/>
              </w:rPr>
              <w:t xml:space="preserve">, земельна ділянка за функціональним призначенням належить до території </w:t>
            </w:r>
            <w:r w:rsidR="00A271A5" w:rsidRPr="008A3BD1">
              <w:rPr>
                <w:i/>
                <w:color w:val="auto"/>
                <w:sz w:val="24"/>
                <w:szCs w:val="24"/>
              </w:rPr>
              <w:t xml:space="preserve">садибної </w:t>
            </w:r>
            <w:r w:rsidRPr="008A3BD1">
              <w:rPr>
                <w:i/>
                <w:color w:val="auto"/>
                <w:sz w:val="24"/>
                <w:szCs w:val="24"/>
              </w:rPr>
              <w:t>житлової забудови</w:t>
            </w:r>
            <w:r>
              <w:rPr>
                <w:i/>
                <w:sz w:val="24"/>
                <w:szCs w:val="24"/>
              </w:rPr>
              <w:t xml:space="preserve"> (</w:t>
            </w:r>
            <w:r w:rsidR="00A271A5">
              <w:rPr>
                <w:i/>
                <w:sz w:val="24"/>
                <w:szCs w:val="24"/>
              </w:rPr>
              <w:t xml:space="preserve">витяг з містобудівної документації </w:t>
            </w:r>
            <w:bookmarkStart w:id="0" w:name="_GoBack"/>
            <w:bookmarkEnd w:id="0"/>
            <w:r>
              <w:rPr>
                <w:i/>
                <w:snapToGrid w:val="0"/>
                <w:sz w:val="24"/>
                <w:szCs w:val="24"/>
              </w:rPr>
              <w:t>Департаменту містобудування та архітектури виконавчого органу Київської міської ради (Київської міської державної адміністрації) від 09.01.2025 № 055-320)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765699" w:rsidRPr="003774B2" w14:paraId="67EEAA64" w14:textId="77777777" w:rsidTr="0056418E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06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56418E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06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56418E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06" w:type="dxa"/>
          </w:tcPr>
          <w:p w14:paraId="432D98F7" w14:textId="77777777" w:rsidR="00243292" w:rsidRPr="003610CA" w:rsidRDefault="00243292" w:rsidP="0024329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ділянки, оскільки відповідно до пункту 34 частини першої статті 26 Закону України «Про  місцеве  самоврядування 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4752095B" w14:textId="77777777" w:rsidR="00243292" w:rsidRPr="003610CA" w:rsidRDefault="00243292" w:rsidP="0024329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              від 17.04.2018 у справі № 826/8107/16, від 16.09.2021 у справі № 826/8847/16. </w:t>
            </w:r>
          </w:p>
          <w:p w14:paraId="6528D3CD" w14:textId="313DC8CB" w:rsidR="00812178" w:rsidRPr="003774B2" w:rsidRDefault="00243292" w:rsidP="0024329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3610CA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7E2AECB4" w14:textId="2703E05C" w:rsidR="006A3391" w:rsidRDefault="006A3391" w:rsidP="006A339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</w:t>
      </w:r>
      <w:r w:rsidR="00092818" w:rsidRPr="00092818">
        <w:rPr>
          <w:sz w:val="24"/>
          <w:szCs w:val="24"/>
        </w:rPr>
        <w:t>Київської міської ради</w:t>
      </w:r>
      <w:r w:rsidR="00243292">
        <w:rPr>
          <w:sz w:val="24"/>
          <w:szCs w:val="24"/>
        </w:rPr>
        <w:t xml:space="preserve">                    </w:t>
      </w:r>
      <w:r w:rsidRPr="00DF2891">
        <w:rPr>
          <w:sz w:val="24"/>
          <w:szCs w:val="24"/>
        </w:rPr>
        <w:t xml:space="preserve"> від 20</w:t>
      </w:r>
      <w:r w:rsidR="004E223D">
        <w:rPr>
          <w:sz w:val="24"/>
          <w:szCs w:val="24"/>
        </w:rPr>
        <w:t>.04.</w:t>
      </w:r>
      <w:r w:rsidRPr="00DF2891">
        <w:rPr>
          <w:sz w:val="24"/>
          <w:szCs w:val="24"/>
        </w:rPr>
        <w:t>2017 № 241/2463.</w:t>
      </w:r>
      <w:r w:rsidR="00243292">
        <w:rPr>
          <w:sz w:val="24"/>
          <w:szCs w:val="24"/>
        </w:rPr>
        <w:t xml:space="preserve"> </w:t>
      </w:r>
    </w:p>
    <w:p w14:paraId="34CEAA81" w14:textId="77777777" w:rsidR="00243292" w:rsidRDefault="00243292" w:rsidP="00243292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76FEED3" w14:textId="77777777" w:rsidR="00243292" w:rsidRDefault="00243292" w:rsidP="00243292">
      <w:pPr>
        <w:pStyle w:val="1"/>
        <w:tabs>
          <w:tab w:val="left" w:pos="0"/>
          <w:tab w:val="left" w:pos="426"/>
        </w:tabs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shd w:val="clear" w:color="auto" w:fill="FFFFFF"/>
          <w:lang w:val="ru-RU"/>
        </w:rPr>
        <w:t>Проєкт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рішення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>
        <w:rPr>
          <w:sz w:val="24"/>
          <w:szCs w:val="24"/>
          <w:shd w:val="clear" w:color="auto" w:fill="FFFFFF"/>
          <w:lang w:val="ru-RU"/>
        </w:rPr>
        <w:t>містить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службової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6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доступ до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публічної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інформації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1C2A1E4C" w14:textId="77777777" w:rsidR="00243292" w:rsidRDefault="00243292" w:rsidP="00243292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  <w:shd w:val="clear" w:color="auto" w:fill="FFFFFF"/>
          <w:lang w:val="ru-RU"/>
        </w:rPr>
      </w:pPr>
      <w:proofErr w:type="spellStart"/>
      <w:r>
        <w:rPr>
          <w:sz w:val="24"/>
          <w:szCs w:val="24"/>
          <w:lang w:val="ru-RU"/>
        </w:rPr>
        <w:t>Проєкт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містить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фізичну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особу (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) 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розумінні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статей 11 та 21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інформацію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» та </w:t>
      </w:r>
      <w:proofErr w:type="spellStart"/>
      <w:r>
        <w:rPr>
          <w:sz w:val="24"/>
          <w:szCs w:val="24"/>
          <w:shd w:val="clear" w:color="auto" w:fill="FFFFFF"/>
          <w:lang w:val="ru-RU"/>
        </w:rPr>
        <w:t>статті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2 Закону </w:t>
      </w:r>
      <w:proofErr w:type="spellStart"/>
      <w:r>
        <w:rPr>
          <w:sz w:val="24"/>
          <w:szCs w:val="24"/>
          <w:shd w:val="clear" w:color="auto" w:fill="FFFFFF"/>
          <w:lang w:val="ru-RU"/>
        </w:rPr>
        <w:t>України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«Про </w:t>
      </w:r>
      <w:proofErr w:type="spellStart"/>
      <w:r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персональних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даних</w:t>
      </w:r>
      <w:proofErr w:type="spellEnd"/>
      <w:r>
        <w:rPr>
          <w:sz w:val="24"/>
          <w:szCs w:val="24"/>
          <w:shd w:val="clear" w:color="auto" w:fill="FFFFFF"/>
          <w:lang w:val="ru-RU"/>
        </w:rPr>
        <w:t>».</w:t>
      </w:r>
    </w:p>
    <w:p w14:paraId="72761017" w14:textId="77777777" w:rsidR="00CA391A" w:rsidRPr="00243292" w:rsidRDefault="00CA391A" w:rsidP="006A3391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  <w:lang w:val="ru-RU"/>
        </w:rPr>
      </w:pP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3774B2">
      <w:pPr>
        <w:pStyle w:val="1"/>
        <w:shd w:val="clear" w:color="auto" w:fill="auto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3F9B275B" w14:textId="7840D25B" w:rsidR="00243292" w:rsidRDefault="00487A09" w:rsidP="00487A09">
      <w:pPr>
        <w:pStyle w:val="1"/>
        <w:shd w:val="clear" w:color="auto" w:fill="auto"/>
        <w:spacing w:after="120"/>
        <w:ind w:left="142" w:firstLine="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43292">
        <w:rPr>
          <w:sz w:val="24"/>
          <w:szCs w:val="24"/>
        </w:rPr>
        <w:t xml:space="preserve">Наслідками прийняття розробленого </w:t>
      </w:r>
      <w:proofErr w:type="spellStart"/>
      <w:r w:rsidR="00243292">
        <w:rPr>
          <w:sz w:val="24"/>
          <w:szCs w:val="24"/>
        </w:rPr>
        <w:t>проєкту</w:t>
      </w:r>
      <w:proofErr w:type="spellEnd"/>
      <w:r w:rsidR="00243292">
        <w:rPr>
          <w:sz w:val="24"/>
          <w:szCs w:val="24"/>
        </w:rPr>
        <w:t xml:space="preserve"> рішення стане реалізація громадянкою своїх прав на оформлення земельної ділянки.</w:t>
      </w:r>
      <w:r w:rsidR="00243292" w:rsidRPr="0081082C">
        <w:rPr>
          <w:color w:val="auto"/>
          <w:sz w:val="24"/>
          <w:szCs w:val="24"/>
        </w:rPr>
        <w:t xml:space="preserve">  </w:t>
      </w:r>
    </w:p>
    <w:p w14:paraId="52896731" w14:textId="77777777" w:rsidR="00CA391A" w:rsidRDefault="0081082C" w:rsidP="00CA391A">
      <w:pPr>
        <w:pStyle w:val="1"/>
        <w:shd w:val="clear" w:color="auto" w:fill="auto"/>
        <w:spacing w:after="120"/>
        <w:ind w:firstLine="284"/>
        <w:jc w:val="both"/>
        <w:rPr>
          <w:color w:val="auto"/>
          <w:sz w:val="24"/>
          <w:szCs w:val="24"/>
        </w:rPr>
      </w:pPr>
      <w:r w:rsidRPr="0081082C">
        <w:rPr>
          <w:color w:val="auto"/>
          <w:sz w:val="24"/>
          <w:szCs w:val="24"/>
        </w:rPr>
        <w:t xml:space="preserve">  </w:t>
      </w: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D00F41">
        <w:rPr>
          <w:bCs/>
          <w:sz w:val="20"/>
          <w:szCs w:val="20"/>
          <w:lang w:val="ru-RU"/>
        </w:rPr>
        <w:t>Валентина ПЕЛИХ</w:t>
      </w:r>
    </w:p>
    <w:p w14:paraId="10728A36" w14:textId="6E22849F" w:rsidR="00096F55" w:rsidRDefault="00096F55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p w14:paraId="3D46C604" w14:textId="77777777" w:rsidR="00EA27C8" w:rsidRPr="00A75C83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Style w:val="af0"/>
                <w:sz w:val="24"/>
                <w:szCs w:val="24"/>
              </w:rPr>
              <w:t>иректор</w:t>
            </w:r>
            <w:proofErr w:type="spellEnd"/>
            <w:r>
              <w:rPr>
                <w:rStyle w:val="af0"/>
                <w:sz w:val="24"/>
                <w:szCs w:val="24"/>
              </w:rPr>
              <w:t xml:space="preserve">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306A0D2C" w14:textId="58E2331C" w:rsidR="00114807" w:rsidRDefault="00114807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78CF8FB6" w14:textId="77EFF6D8" w:rsidR="000D25A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p w14:paraId="4BDDC284" w14:textId="77777777" w:rsidR="000D25A2" w:rsidRPr="003774B2" w:rsidRDefault="000D25A2" w:rsidP="0014328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EA27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567" w:bottom="851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A43F8" w14:textId="77777777" w:rsidR="00D00F41" w:rsidRDefault="00D00F4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0DDE2" w14:textId="77777777" w:rsidR="00D00F41" w:rsidRDefault="00D00F4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BD959" w14:textId="77777777" w:rsidR="00D00F41" w:rsidRDefault="00D00F4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3A6E9972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="00E770AC">
      <w:rPr>
        <w:sz w:val="12"/>
        <w:szCs w:val="12"/>
      </w:rPr>
      <w:t xml:space="preserve"> 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020D8E">
      <w:rPr>
        <w:sz w:val="12"/>
        <w:szCs w:val="12"/>
        <w:lang w:val="ru-RU"/>
      </w:rPr>
      <w:t>ПЗН-78785</w:t>
    </w:r>
    <w:r w:rsidR="00862990">
      <w:rPr>
        <w:sz w:val="12"/>
        <w:szCs w:val="12"/>
      </w:rPr>
      <w:t xml:space="preserve"> від </w:t>
    </w:r>
    <w:r w:rsidR="00B2667F" w:rsidRPr="00020D8E">
      <w:rPr>
        <w:sz w:val="12"/>
        <w:szCs w:val="12"/>
        <w:lang w:val="ru-RU"/>
      </w:rPr>
      <w:t>05.03.2025</w:t>
    </w:r>
    <w:r w:rsidR="00862990">
      <w:rPr>
        <w:sz w:val="12"/>
        <w:szCs w:val="12"/>
      </w:rPr>
      <w:t xml:space="preserve"> до </w:t>
    </w:r>
    <w:r w:rsidR="00D00F41">
      <w:rPr>
        <w:sz w:val="12"/>
        <w:szCs w:val="12"/>
      </w:rPr>
      <w:t xml:space="preserve">справи </w:t>
    </w:r>
    <w:r w:rsidR="00862990">
      <w:rPr>
        <w:sz w:val="12"/>
        <w:szCs w:val="12"/>
      </w:rPr>
      <w:t>453274175</w:t>
    </w:r>
  </w:p>
  <w:p w14:paraId="2E60DAB9" w14:textId="0C17F762" w:rsidR="00862990" w:rsidRPr="007B7541" w:rsidRDefault="00D00F41" w:rsidP="00D00F41">
    <w:pPr>
      <w:pStyle w:val="ab"/>
      <w:tabs>
        <w:tab w:val="left" w:pos="7380"/>
      </w:tabs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ab/>
    </w:r>
    <w:r>
      <w:rPr>
        <w:rFonts w:ascii="Times New Roman" w:hAnsi="Times New Roman" w:cs="Times New Roman"/>
        <w:sz w:val="12"/>
        <w:szCs w:val="12"/>
      </w:rPr>
      <w:tab/>
    </w:r>
    <w:r>
      <w:rPr>
        <w:rFonts w:ascii="Times New Roman" w:hAnsi="Times New Roman" w:cs="Times New Roman"/>
        <w:sz w:val="12"/>
        <w:szCs w:val="12"/>
      </w:rPr>
      <w:tab/>
    </w:r>
    <w:r w:rsidR="00862990" w:rsidRPr="007B7541">
      <w:rPr>
        <w:rFonts w:ascii="Times New Roman" w:hAnsi="Times New Roman" w:cs="Times New Roman"/>
        <w:sz w:val="12"/>
        <w:szCs w:val="12"/>
      </w:rPr>
      <w:t>Сторінка</w:t>
    </w:r>
    <w:r w:rsidR="00862990"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="00862990"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="00862990"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="00862990"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336A96" w:rsidRPr="00336A9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="00862990"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0E69A" w14:textId="77777777" w:rsidR="00D00F41" w:rsidRDefault="00D00F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17578"/>
    <w:rsid w:val="00020D8E"/>
    <w:rsid w:val="00022532"/>
    <w:rsid w:val="00045902"/>
    <w:rsid w:val="00091CF3"/>
    <w:rsid w:val="00092818"/>
    <w:rsid w:val="00096F55"/>
    <w:rsid w:val="000D25A2"/>
    <w:rsid w:val="000D4A8B"/>
    <w:rsid w:val="000D5380"/>
    <w:rsid w:val="000F1896"/>
    <w:rsid w:val="00103606"/>
    <w:rsid w:val="00110C03"/>
    <w:rsid w:val="00114807"/>
    <w:rsid w:val="00143284"/>
    <w:rsid w:val="0014558C"/>
    <w:rsid w:val="00150588"/>
    <w:rsid w:val="00155A66"/>
    <w:rsid w:val="00166900"/>
    <w:rsid w:val="00193E39"/>
    <w:rsid w:val="001946C9"/>
    <w:rsid w:val="001E04D2"/>
    <w:rsid w:val="00210F1C"/>
    <w:rsid w:val="00217DBB"/>
    <w:rsid w:val="00224F4D"/>
    <w:rsid w:val="002256EF"/>
    <w:rsid w:val="00232D6B"/>
    <w:rsid w:val="00243292"/>
    <w:rsid w:val="002438BA"/>
    <w:rsid w:val="00263D53"/>
    <w:rsid w:val="002719CE"/>
    <w:rsid w:val="00294757"/>
    <w:rsid w:val="002F29F5"/>
    <w:rsid w:val="00302B67"/>
    <w:rsid w:val="003047FC"/>
    <w:rsid w:val="0032514C"/>
    <w:rsid w:val="00336A96"/>
    <w:rsid w:val="00347B41"/>
    <w:rsid w:val="00354ADB"/>
    <w:rsid w:val="003568E0"/>
    <w:rsid w:val="0037251C"/>
    <w:rsid w:val="003744EB"/>
    <w:rsid w:val="003774B2"/>
    <w:rsid w:val="003C17B4"/>
    <w:rsid w:val="003F08A4"/>
    <w:rsid w:val="003F796B"/>
    <w:rsid w:val="004223BA"/>
    <w:rsid w:val="00446BFC"/>
    <w:rsid w:val="004571B2"/>
    <w:rsid w:val="00466C3C"/>
    <w:rsid w:val="00485E81"/>
    <w:rsid w:val="00487A09"/>
    <w:rsid w:val="00496595"/>
    <w:rsid w:val="004E1042"/>
    <w:rsid w:val="004E223D"/>
    <w:rsid w:val="004F0681"/>
    <w:rsid w:val="0051297B"/>
    <w:rsid w:val="005234D0"/>
    <w:rsid w:val="0055002C"/>
    <w:rsid w:val="0056418E"/>
    <w:rsid w:val="00571279"/>
    <w:rsid w:val="005718CD"/>
    <w:rsid w:val="0058258A"/>
    <w:rsid w:val="00584DDC"/>
    <w:rsid w:val="00596FDB"/>
    <w:rsid w:val="005A2C2E"/>
    <w:rsid w:val="005C0C71"/>
    <w:rsid w:val="005C5A73"/>
    <w:rsid w:val="006006CF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D0CA1"/>
    <w:rsid w:val="006D0D25"/>
    <w:rsid w:val="006D7DD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7528B"/>
    <w:rsid w:val="00880D60"/>
    <w:rsid w:val="008A1CBE"/>
    <w:rsid w:val="008B065F"/>
    <w:rsid w:val="008F6A51"/>
    <w:rsid w:val="009078AA"/>
    <w:rsid w:val="009253F7"/>
    <w:rsid w:val="00976EF9"/>
    <w:rsid w:val="009B470E"/>
    <w:rsid w:val="009C124D"/>
    <w:rsid w:val="009C7FC5"/>
    <w:rsid w:val="009F5A7E"/>
    <w:rsid w:val="00A04BCD"/>
    <w:rsid w:val="00A271A5"/>
    <w:rsid w:val="00A27936"/>
    <w:rsid w:val="00A47378"/>
    <w:rsid w:val="00A577B3"/>
    <w:rsid w:val="00A65267"/>
    <w:rsid w:val="00A66F8F"/>
    <w:rsid w:val="00A723F2"/>
    <w:rsid w:val="00A75C83"/>
    <w:rsid w:val="00AA10F9"/>
    <w:rsid w:val="00AD6BDF"/>
    <w:rsid w:val="00AF38B3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D4A71"/>
    <w:rsid w:val="00BE5396"/>
    <w:rsid w:val="00BE76CE"/>
    <w:rsid w:val="00C2624F"/>
    <w:rsid w:val="00C84EDA"/>
    <w:rsid w:val="00C95FDB"/>
    <w:rsid w:val="00C96D9A"/>
    <w:rsid w:val="00C97F46"/>
    <w:rsid w:val="00CA391A"/>
    <w:rsid w:val="00CB5ED4"/>
    <w:rsid w:val="00CC567E"/>
    <w:rsid w:val="00CC5CF5"/>
    <w:rsid w:val="00CE0D0A"/>
    <w:rsid w:val="00D00F41"/>
    <w:rsid w:val="00D071C4"/>
    <w:rsid w:val="00D07D85"/>
    <w:rsid w:val="00D12C22"/>
    <w:rsid w:val="00D23EC9"/>
    <w:rsid w:val="00D34361"/>
    <w:rsid w:val="00D35106"/>
    <w:rsid w:val="00D40C56"/>
    <w:rsid w:val="00D453B9"/>
    <w:rsid w:val="00D52C22"/>
    <w:rsid w:val="00DA21AC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7F1B"/>
    <w:rsid w:val="00E659C4"/>
    <w:rsid w:val="00E70A7A"/>
    <w:rsid w:val="00E71436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veronika.shabelnyk\Downloads\request_qr_co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4948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Шабельник Вероніка Сергіївна</cp:lastModifiedBy>
  <cp:revision>11</cp:revision>
  <cp:lastPrinted>2025-03-13T08:43:00Z</cp:lastPrinted>
  <dcterms:created xsi:type="dcterms:W3CDTF">2025-03-05T07:09:00Z</dcterms:created>
  <dcterms:modified xsi:type="dcterms:W3CDTF">2025-03-13T08:45:00Z</dcterms:modified>
</cp:coreProperties>
</file>