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58D0A25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447440534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447440534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ПЗН-69584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09.08.2024</w:t>
      </w:r>
    </w:p>
    <w:p w14:paraId="279C27D0" w14:textId="4EC4945B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F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</w:t>
      </w:r>
      <w:r w:rsidR="00405E7B">
        <w:rPr>
          <w:rFonts w:ascii="Times New Roman" w:hAnsi="Times New Roman" w:cs="Times New Roman"/>
          <w:b/>
          <w:sz w:val="24"/>
          <w:szCs w:val="24"/>
          <w:lang w:eastAsia="ru-RU"/>
        </w:rPr>
        <w:t>ь міста «</w:t>
      </w:r>
      <w:proofErr w:type="spellStart"/>
      <w:r w:rsidR="00405E7B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405E7B">
        <w:rPr>
          <w:rFonts w:ascii="Times New Roman" w:hAnsi="Times New Roman" w:cs="Times New Roman"/>
          <w:b/>
          <w:sz w:val="24"/>
          <w:szCs w:val="24"/>
          <w:lang w:eastAsia="ru-RU"/>
        </w:rPr>
        <w:t>» земельних</w:t>
      </w:r>
      <w:r w:rsidR="00777FF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ділян</w:t>
      </w:r>
      <w:r w:rsidR="00405E7B"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r w:rsidR="00777FF8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 постійне користування </w:t>
      </w:r>
      <w:r w:rsidR="00B03C65" w:rsidRPr="00777FF8">
        <w:rPr>
          <w:rFonts w:ascii="Times New Roman" w:hAnsi="Times New Roman" w:cs="Times New Roman"/>
          <w:b/>
          <w:sz w:val="24"/>
          <w:szCs w:val="24"/>
        </w:rPr>
        <w:t>для облаштування, експлуатації та обслугову</w:t>
      </w:r>
      <w:r w:rsidR="00777FF8">
        <w:rPr>
          <w:rFonts w:ascii="Times New Roman" w:hAnsi="Times New Roman" w:cs="Times New Roman"/>
          <w:b/>
          <w:sz w:val="24"/>
          <w:szCs w:val="24"/>
        </w:rPr>
        <w:t>вання зелених насаджень (сквер)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r w:rsidR="00777FF8" w:rsidRPr="00A54958">
        <w:rPr>
          <w:rFonts w:ascii="Times New Roman" w:hAnsi="Times New Roman" w:cs="Times New Roman"/>
          <w:b/>
          <w:sz w:val="24"/>
          <w:szCs w:val="24"/>
        </w:rPr>
        <w:t xml:space="preserve">Івана </w:t>
      </w:r>
      <w:r w:rsidR="00777FF8">
        <w:rPr>
          <w:rFonts w:ascii="Times New Roman" w:hAnsi="Times New Roman" w:cs="Times New Roman"/>
          <w:b/>
          <w:sz w:val="24"/>
          <w:szCs w:val="24"/>
        </w:rPr>
        <w:t>Сірка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Г</w:t>
      </w:r>
      <w:r w:rsidR="00777FF8">
        <w:rPr>
          <w:rFonts w:ascii="Times New Roman" w:hAnsi="Times New Roman" w:cs="Times New Roman"/>
          <w:b/>
          <w:sz w:val="24"/>
          <w:szCs w:val="24"/>
        </w:rPr>
        <w:t xml:space="preserve">олосіївському                  районі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667C374E" w14:textId="77777777" w:rsidR="004C658A" w:rsidRDefault="004C658A" w:rsidP="00A54958">
      <w:pPr>
        <w:pStyle w:val="20"/>
        <w:shd w:val="clear" w:color="auto" w:fill="auto"/>
        <w:ind w:right="2798"/>
      </w:pPr>
    </w:p>
    <w:p w14:paraId="2CB021B8" w14:textId="0ACEEDDE" w:rsidR="003C0A13" w:rsidRPr="004C658A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p w14:paraId="3F881911" w14:textId="77777777" w:rsidR="004C658A" w:rsidRPr="00C44DBB" w:rsidRDefault="004C658A" w:rsidP="004C658A">
      <w:pPr>
        <w:pStyle w:val="a5"/>
        <w:shd w:val="clear" w:color="auto" w:fill="auto"/>
        <w:spacing w:line="240" w:lineRule="auto"/>
        <w:ind w:left="727"/>
        <w:rPr>
          <w:sz w:val="19"/>
          <w:szCs w:val="19"/>
        </w:rPr>
      </w:pP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38A7338F" w:rsidR="00D437FF" w:rsidRPr="00447390" w:rsidRDefault="00B86D7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323ED5">
              <w:rPr>
                <w:i/>
                <w:sz w:val="24"/>
                <w:szCs w:val="24"/>
              </w:rPr>
              <w:t>Київзеленбуд</w:t>
            </w:r>
            <w:proofErr w:type="spellEnd"/>
            <w:r w:rsidRPr="00323ED5">
              <w:rPr>
                <w:i/>
                <w:sz w:val="24"/>
                <w:szCs w:val="24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3E21BA80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56ACE2D3" w:rsidR="003C0A13" w:rsidRPr="00447390" w:rsidRDefault="00B86D73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F07EB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  <w:r w:rsidRPr="004F07EB">
              <w:rPr>
                <w:i/>
                <w:iCs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D75AA1">
        <w:trPr>
          <w:cantSplit/>
          <w:trHeight w:hRule="exact" w:val="619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5E383F5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BF010D">
        <w:trPr>
          <w:cantSplit/>
          <w:trHeight w:hRule="exact" w:val="346"/>
        </w:trPr>
        <w:tc>
          <w:tcPr>
            <w:tcW w:w="3536" w:type="dxa"/>
            <w:shd w:val="clear" w:color="auto" w:fill="FFFFFF"/>
          </w:tcPr>
          <w:p w14:paraId="7C70F778" w14:textId="442F6527" w:rsidR="005660BA" w:rsidRPr="005660BA" w:rsidRDefault="00BF010D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15.07.2024 № 447440534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55101923" w:rsidR="00854144" w:rsidRPr="006C75C6" w:rsidRDefault="00B86D73" w:rsidP="00FE793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ind w:firstLine="142"/>
        <w:jc w:val="both"/>
        <w:rPr>
          <w:rStyle w:val="ad"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Відомості про земельні ділянки</w:t>
      </w:r>
      <w:r w:rsidR="003D4611" w:rsidRPr="005660BA">
        <w:rPr>
          <w:b/>
          <w:bCs/>
          <w:sz w:val="24"/>
          <w:szCs w:val="24"/>
        </w:rPr>
        <w:t xml:space="preserve"> </w:t>
      </w:r>
      <w:r w:rsidR="00405E7B">
        <w:rPr>
          <w:b/>
          <w:bCs/>
          <w:sz w:val="24"/>
          <w:szCs w:val="24"/>
        </w:rPr>
        <w:t xml:space="preserve">кадастрові номери </w:t>
      </w:r>
      <w:r w:rsidR="008F1609" w:rsidRPr="005660BA">
        <w:rPr>
          <w:b/>
          <w:bCs/>
          <w:sz w:val="24"/>
          <w:szCs w:val="24"/>
        </w:rPr>
        <w:t xml:space="preserve">8000000000:79:484:0038; </w:t>
      </w:r>
      <w:r w:rsidR="00FE7932">
        <w:rPr>
          <w:b/>
          <w:bCs/>
          <w:sz w:val="24"/>
          <w:szCs w:val="24"/>
        </w:rPr>
        <w:t xml:space="preserve">               </w:t>
      </w:r>
      <w:r w:rsidR="008F1609" w:rsidRPr="005660BA">
        <w:rPr>
          <w:b/>
          <w:bCs/>
          <w:sz w:val="24"/>
          <w:szCs w:val="24"/>
        </w:rPr>
        <w:t>8000000000:79:484:0052</w:t>
      </w:r>
      <w:r w:rsidR="007D79A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649"/>
        <w:gridCol w:w="5990"/>
      </w:tblGrid>
      <w:tr w:rsidR="00C022FD" w:rsidRPr="00C022FD" w14:paraId="4889BBD7" w14:textId="77777777" w:rsidTr="00F44CB7">
        <w:trPr>
          <w:cantSplit/>
          <w:trHeight w:val="372"/>
        </w:trPr>
        <w:tc>
          <w:tcPr>
            <w:tcW w:w="3649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1811B5A0" w:rsidR="00C022FD" w:rsidRPr="00447390" w:rsidRDefault="00C022FD" w:rsidP="00405E7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Голосіївський, вул. </w:t>
            </w:r>
            <w:r w:rsidR="00405E7B" w:rsidRPr="00447390">
              <w:rPr>
                <w:rFonts w:ascii="Times New Roman" w:hAnsi="Times New Roman" w:cs="Times New Roman"/>
                <w:i/>
                <w:iCs/>
              </w:rPr>
              <w:t xml:space="preserve">Івана </w:t>
            </w:r>
            <w:r w:rsidR="00405E7B">
              <w:rPr>
                <w:rFonts w:ascii="Times New Roman" w:hAnsi="Times New Roman" w:cs="Times New Roman"/>
                <w:i/>
                <w:iCs/>
              </w:rPr>
              <w:t>Сірка</w:t>
            </w:r>
          </w:p>
        </w:tc>
      </w:tr>
      <w:tr w:rsidR="00C022FD" w:rsidRPr="00C022FD" w14:paraId="6A951C31" w14:textId="77777777" w:rsidTr="00F44CB7">
        <w:trPr>
          <w:cantSplit/>
          <w:trHeight w:val="372"/>
        </w:trPr>
        <w:tc>
          <w:tcPr>
            <w:tcW w:w="3649" w:type="dxa"/>
          </w:tcPr>
          <w:p w14:paraId="66F7F326" w14:textId="511C7426" w:rsidR="00C022FD" w:rsidRPr="00C022FD" w:rsidRDefault="00FE7932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Площі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1BAA8DBB" w14:textId="613BB5ED" w:rsidR="00E855E6" w:rsidRDefault="00E855E6" w:rsidP="00447390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E855E6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8000000000:79:484:0038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- </w:t>
            </w:r>
            <w:r w:rsidR="003403EB"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0,33</w:t>
            </w:r>
            <w:r w:rsidR="00405E7B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32</w:t>
            </w:r>
            <w:r w:rsidR="00D32FB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га</w:t>
            </w:r>
            <w:r w:rsidR="00405E7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; </w:t>
            </w:r>
          </w:p>
          <w:p w14:paraId="5137F3E9" w14:textId="399BDE72" w:rsidR="00C022FD" w:rsidRPr="00447390" w:rsidRDefault="00E855E6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E855E6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8000000000:79:484:0052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- </w:t>
            </w:r>
            <w:r w:rsidR="00405E7B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0,3289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F44CB7">
        <w:trPr>
          <w:cantSplit/>
          <w:trHeight w:val="372"/>
        </w:trPr>
        <w:tc>
          <w:tcPr>
            <w:tcW w:w="3649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1B2F5ADB" w14:textId="66FC56E5" w:rsidR="00C022FD" w:rsidRPr="00447390" w:rsidRDefault="000E53D3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>)</w:t>
            </w:r>
          </w:p>
        </w:tc>
      </w:tr>
      <w:tr w:rsidR="00C022FD" w:rsidRPr="00C022FD" w14:paraId="2C3560CE" w14:textId="77777777" w:rsidTr="00F44CB7">
        <w:trPr>
          <w:cantSplit/>
          <w:trHeight w:val="372"/>
        </w:trPr>
        <w:tc>
          <w:tcPr>
            <w:tcW w:w="3649" w:type="dxa"/>
          </w:tcPr>
          <w:p w14:paraId="2F3D2E38" w14:textId="6C91F7F1" w:rsidR="00C022FD" w:rsidRPr="00C022FD" w:rsidRDefault="000E53D3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D7692C">
              <w:rPr>
                <w:rFonts w:ascii="Times New Roman" w:hAnsi="Times New Roman" w:cs="Times New Roman"/>
              </w:rPr>
              <w:t>Категорія земель</w:t>
            </w:r>
          </w:p>
        </w:tc>
        <w:tc>
          <w:tcPr>
            <w:tcW w:w="5990" w:type="dxa"/>
          </w:tcPr>
          <w:p w14:paraId="5922EEF0" w14:textId="38A097FC" w:rsidR="00C022FD" w:rsidRPr="00D32FB7" w:rsidRDefault="00DE01C1" w:rsidP="000E53D3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з</w:t>
            </w:r>
            <w:r w:rsidR="00D32FB7">
              <w:rPr>
                <w:rFonts w:ascii="Times New Roman" w:hAnsi="Times New Roman"/>
                <w:i/>
                <w:lang w:val="uk-UA"/>
              </w:rPr>
              <w:t>емлі рекреаційного призначення</w:t>
            </w:r>
          </w:p>
        </w:tc>
      </w:tr>
      <w:tr w:rsidR="000E53D3" w:rsidRPr="00C022FD" w14:paraId="12DC729C" w14:textId="77777777" w:rsidTr="00F44CB7">
        <w:trPr>
          <w:cantSplit/>
          <w:trHeight w:val="372"/>
        </w:trPr>
        <w:tc>
          <w:tcPr>
            <w:tcW w:w="3649" w:type="dxa"/>
          </w:tcPr>
          <w:p w14:paraId="7473B489" w14:textId="5705ABD8" w:rsidR="000E53D3" w:rsidRPr="00C022FD" w:rsidRDefault="000E53D3" w:rsidP="000E53D3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Цільове призначення</w:t>
            </w:r>
          </w:p>
        </w:tc>
        <w:tc>
          <w:tcPr>
            <w:tcW w:w="5990" w:type="dxa"/>
          </w:tcPr>
          <w:p w14:paraId="15E1CF5A" w14:textId="614DB851" w:rsidR="000E53D3" w:rsidRPr="00BF010D" w:rsidRDefault="000E53D3" w:rsidP="000E53D3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750817">
              <w:rPr>
                <w:rFonts w:ascii="Times New Roman" w:hAnsi="Times New Roman"/>
                <w:i/>
                <w:lang w:val="uk-UA"/>
              </w:rPr>
              <w:t xml:space="preserve">07.08 земельні ділянки загального користування, які </w:t>
            </w:r>
            <w:r w:rsidRPr="00BF010D">
              <w:rPr>
                <w:rFonts w:ascii="Times New Roman" w:hAnsi="Times New Roman"/>
                <w:i/>
                <w:lang w:val="uk-UA"/>
              </w:rPr>
              <w:t>використовуються як зелені насадження загального користування</w:t>
            </w:r>
            <w:r w:rsidR="00BF010D" w:rsidRPr="00BF010D">
              <w:rPr>
                <w:rFonts w:ascii="Times New Roman" w:hAnsi="Times New Roman"/>
                <w:i/>
                <w:lang w:val="uk-UA"/>
              </w:rPr>
              <w:t xml:space="preserve"> (</w:t>
            </w:r>
            <w:r w:rsidR="00BF010D" w:rsidRPr="00BF010D">
              <w:rPr>
                <w:rFonts w:ascii="Times New Roman" w:hAnsi="Times New Roman"/>
                <w:i/>
                <w:lang w:val="uk-UA" w:bidi="uk-UA"/>
              </w:rPr>
              <w:t>для облаштування, експлуатації та обслуговування зелених насаджень (сквер)</w:t>
            </w:r>
          </w:p>
        </w:tc>
      </w:tr>
      <w:tr w:rsidR="000E53D3" w:rsidRPr="00C022FD" w14:paraId="026FAB36" w14:textId="77777777" w:rsidTr="00F44CB7">
        <w:trPr>
          <w:cantSplit/>
          <w:trHeight w:val="693"/>
        </w:trPr>
        <w:tc>
          <w:tcPr>
            <w:tcW w:w="3649" w:type="dxa"/>
          </w:tcPr>
          <w:p w14:paraId="21439565" w14:textId="77777777" w:rsidR="000E53D3" w:rsidRPr="000E53D3" w:rsidRDefault="000E53D3" w:rsidP="000E53D3">
            <w:pPr>
              <w:ind w:left="30" w:hanging="105"/>
              <w:rPr>
                <w:rFonts w:ascii="Times New Roman" w:hAnsi="Times New Roman" w:cs="Times New Roman"/>
              </w:rPr>
            </w:pPr>
            <w:r w:rsidRPr="000E53D3">
              <w:rPr>
                <w:rFonts w:ascii="Times New Roman" w:hAnsi="Times New Roman" w:cs="Times New Roman"/>
              </w:rPr>
              <w:t xml:space="preserve">Нормативна грошова оцінка </w:t>
            </w:r>
          </w:p>
          <w:p w14:paraId="56A2153A" w14:textId="38C71A9C" w:rsidR="000E53D3" w:rsidRPr="00C022FD" w:rsidRDefault="000E53D3" w:rsidP="000E53D3">
            <w:pPr>
              <w:ind w:left="30" w:hanging="105"/>
              <w:rPr>
                <w:rFonts w:ascii="Times New Roman" w:hAnsi="Times New Roman" w:cs="Times New Roman"/>
              </w:rPr>
            </w:pPr>
            <w:r w:rsidRPr="000E53D3">
              <w:rPr>
                <w:rFonts w:ascii="Times New Roman" w:hAnsi="Times New Roman" w:cs="Times New Roman"/>
              </w:rPr>
              <w:t>(за попереднім розрахунком*)</w:t>
            </w:r>
          </w:p>
        </w:tc>
        <w:tc>
          <w:tcPr>
            <w:tcW w:w="5990" w:type="dxa"/>
          </w:tcPr>
          <w:p w14:paraId="5AC24B48" w14:textId="63EC8158" w:rsidR="00E855E6" w:rsidRDefault="00E855E6" w:rsidP="00E855E6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E855E6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8000000000:79:484:0038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– 3 804 622 грн 87 коп.</w:t>
            </w:r>
          </w:p>
          <w:p w14:paraId="231547C9" w14:textId="270E1FF3" w:rsidR="000E53D3" w:rsidRPr="00E855E6" w:rsidRDefault="00E855E6" w:rsidP="00E855E6">
            <w:pPr>
              <w:pStyle w:val="ParagraphStyle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E855E6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8000000000:79:484:0052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– 3 755 523 грн 60 коп.</w:t>
            </w:r>
          </w:p>
        </w:tc>
      </w:tr>
      <w:tr w:rsidR="000E53D3" w:rsidRPr="00C022FD" w14:paraId="3A3DFA8F" w14:textId="77777777" w:rsidTr="00F44CB7">
        <w:trPr>
          <w:cantSplit/>
          <w:trHeight w:val="372"/>
        </w:trPr>
        <w:tc>
          <w:tcPr>
            <w:tcW w:w="9639" w:type="dxa"/>
            <w:gridSpan w:val="2"/>
          </w:tcPr>
          <w:p w14:paraId="0812BF97" w14:textId="77777777" w:rsidR="000E53D3" w:rsidRPr="00D7692C" w:rsidRDefault="000E53D3" w:rsidP="000E53D3">
            <w:pPr>
              <w:pStyle w:val="a7"/>
              <w:ind w:firstLine="0"/>
              <w:rPr>
                <w:i/>
                <w:sz w:val="24"/>
                <w:szCs w:val="24"/>
                <w:lang w:val="ru-RU"/>
              </w:rPr>
            </w:pPr>
            <w:r w:rsidRPr="00D7692C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4A445357" w14:textId="3E32AA97" w:rsidR="000E53D3" w:rsidRPr="00447390" w:rsidRDefault="000E53D3" w:rsidP="000E53D3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вимог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чинного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законодавства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при </w:t>
            </w:r>
            <w:proofErr w:type="spellStart"/>
            <w:r w:rsidR="00FE7932">
              <w:rPr>
                <w:rFonts w:ascii="Times New Roman" w:hAnsi="Times New Roman"/>
                <w:i/>
              </w:rPr>
              <w:t>оформленні</w:t>
            </w:r>
            <w:proofErr w:type="spellEnd"/>
            <w:r w:rsidR="00FE7932">
              <w:rPr>
                <w:rFonts w:ascii="Times New Roman" w:hAnsi="Times New Roman"/>
                <w:i/>
              </w:rPr>
              <w:t xml:space="preserve"> права на </w:t>
            </w:r>
            <w:proofErr w:type="spellStart"/>
            <w:r w:rsidR="00FE7932">
              <w:rPr>
                <w:rFonts w:ascii="Times New Roman" w:hAnsi="Times New Roman"/>
                <w:i/>
              </w:rPr>
              <w:t>земельні</w:t>
            </w:r>
            <w:proofErr w:type="spellEnd"/>
            <w:r w:rsidR="00FE793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E7932">
              <w:rPr>
                <w:rFonts w:ascii="Times New Roman" w:hAnsi="Times New Roman"/>
                <w:i/>
              </w:rPr>
              <w:t>ділянки</w:t>
            </w:r>
            <w:proofErr w:type="spellEnd"/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350DACA6" w14:textId="59C302E3" w:rsidR="000E53D3" w:rsidRDefault="000E53D3" w:rsidP="000E53D3">
      <w:pPr>
        <w:pStyle w:val="1"/>
        <w:shd w:val="clear" w:color="auto" w:fill="auto"/>
        <w:tabs>
          <w:tab w:val="left" w:pos="671"/>
        </w:tabs>
        <w:spacing w:after="0"/>
        <w:jc w:val="both"/>
        <w:rPr>
          <w:color w:val="3B010F"/>
          <w:sz w:val="24"/>
          <w:szCs w:val="24"/>
        </w:rPr>
      </w:pPr>
      <w:r>
        <w:rPr>
          <w:sz w:val="24"/>
          <w:szCs w:val="24"/>
        </w:rPr>
        <w:t xml:space="preserve">Відповідно до статей 9, 123 Земельного кодексу </w:t>
      </w:r>
      <w:r w:rsidR="00405E7B">
        <w:rPr>
          <w:sz w:val="24"/>
          <w:szCs w:val="24"/>
        </w:rPr>
        <w:t>України, враховуючи, що земельні</w:t>
      </w:r>
      <w:r>
        <w:rPr>
          <w:sz w:val="24"/>
          <w:szCs w:val="24"/>
        </w:rPr>
        <w:t xml:space="preserve"> ділянк</w:t>
      </w:r>
      <w:r w:rsidR="00405E7B">
        <w:rPr>
          <w:sz w:val="24"/>
          <w:szCs w:val="24"/>
        </w:rPr>
        <w:t>и зареєстровані</w:t>
      </w:r>
      <w:r>
        <w:rPr>
          <w:sz w:val="24"/>
          <w:szCs w:val="24"/>
        </w:rPr>
        <w:t xml:space="preserve"> в Державному земельному кадастрі, право комунальної власності територіа</w:t>
      </w:r>
      <w:r w:rsidR="00405E7B">
        <w:rPr>
          <w:sz w:val="24"/>
          <w:szCs w:val="24"/>
        </w:rPr>
        <w:t>льної громади міста Києва на які</w:t>
      </w:r>
      <w:r>
        <w:rPr>
          <w:sz w:val="24"/>
          <w:szCs w:val="24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23.07.2024, номер</w:t>
      </w:r>
      <w:r w:rsidR="00FE7932">
        <w:rPr>
          <w:sz w:val="24"/>
          <w:szCs w:val="24"/>
        </w:rPr>
        <w:t>и</w:t>
      </w:r>
      <w:r>
        <w:rPr>
          <w:sz w:val="24"/>
          <w:szCs w:val="24"/>
        </w:rPr>
        <w:t xml:space="preserve"> відомостей про речове право 56020733</w:t>
      </w:r>
      <w:r w:rsidR="00FE7932">
        <w:rPr>
          <w:sz w:val="24"/>
          <w:szCs w:val="24"/>
        </w:rPr>
        <w:t xml:space="preserve">, </w:t>
      </w:r>
      <w:r w:rsidR="00405E7B" w:rsidRPr="00405E7B">
        <w:rPr>
          <w:sz w:val="24"/>
          <w:szCs w:val="24"/>
        </w:rPr>
        <w:t>56</w:t>
      </w:r>
      <w:r w:rsidR="00405E7B">
        <w:rPr>
          <w:sz w:val="24"/>
          <w:szCs w:val="24"/>
        </w:rPr>
        <w:t>020876</w:t>
      </w:r>
      <w:r w:rsidRPr="00405E7B">
        <w:rPr>
          <w:sz w:val="24"/>
          <w:szCs w:val="24"/>
        </w:rPr>
        <w:t>)</w:t>
      </w:r>
      <w:r>
        <w:rPr>
          <w:sz w:val="24"/>
          <w:szCs w:val="24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Київської міс</w:t>
      </w:r>
      <w:r w:rsidR="00FE7932">
        <w:rPr>
          <w:sz w:val="24"/>
          <w:szCs w:val="24"/>
        </w:rPr>
        <w:t>ької ради щодо надання земельних</w:t>
      </w:r>
      <w:r>
        <w:rPr>
          <w:sz w:val="24"/>
          <w:szCs w:val="24"/>
        </w:rPr>
        <w:t xml:space="preserve"> ділян</w:t>
      </w:r>
      <w:r w:rsidR="00FE7932">
        <w:rPr>
          <w:sz w:val="24"/>
          <w:szCs w:val="24"/>
        </w:rPr>
        <w:t>ок</w:t>
      </w:r>
      <w:r>
        <w:rPr>
          <w:sz w:val="24"/>
          <w:szCs w:val="24"/>
        </w:rPr>
        <w:t xml:space="preserve"> у постійне користування без зміни меж та цільового </w:t>
      </w:r>
      <w:r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68A529A1" w14:textId="024C1C5A" w:rsidR="000E53D3" w:rsidRDefault="000E53D3" w:rsidP="000E53D3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52888380" w14:textId="77777777" w:rsidR="00D75AA1" w:rsidRPr="005660BA" w:rsidRDefault="00D75AA1" w:rsidP="000E53D3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5E88520" w14:textId="124719FD" w:rsidR="004C658A" w:rsidRDefault="004C658A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2BF19D1C" w:rsidR="009A054D" w:rsidRPr="004C658A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</w:t>
      </w:r>
      <w:r w:rsidR="00FE7932">
        <w:rPr>
          <w:b/>
          <w:bCs/>
          <w:sz w:val="24"/>
          <w:szCs w:val="24"/>
        </w:rPr>
        <w:t>ок</w:t>
      </w:r>
      <w:r w:rsidRPr="005660BA">
        <w:rPr>
          <w:b/>
          <w:bCs/>
          <w:sz w:val="24"/>
          <w:szCs w:val="24"/>
        </w:rPr>
        <w:t>.</w:t>
      </w:r>
    </w:p>
    <w:p w14:paraId="0F9F0471" w14:textId="77777777" w:rsidR="004C658A" w:rsidRPr="002B31E8" w:rsidRDefault="004C658A" w:rsidP="004C658A">
      <w:pPr>
        <w:pStyle w:val="1"/>
        <w:shd w:val="clear" w:color="auto" w:fill="auto"/>
        <w:tabs>
          <w:tab w:val="left" w:pos="709"/>
        </w:tabs>
        <w:spacing w:after="60"/>
        <w:ind w:left="567" w:firstLine="0"/>
        <w:rPr>
          <w:sz w:val="24"/>
          <w:szCs w:val="24"/>
        </w:rPr>
      </w:pP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D75AA1" w:rsidRPr="003774B2" w14:paraId="4CAB0CE4" w14:textId="77777777" w:rsidTr="004C658A">
        <w:trPr>
          <w:cantSplit/>
          <w:trHeight w:val="547"/>
        </w:trPr>
        <w:tc>
          <w:tcPr>
            <w:tcW w:w="3167" w:type="dxa"/>
          </w:tcPr>
          <w:p w14:paraId="6E2889C2" w14:textId="13C8BA98" w:rsidR="00D75AA1" w:rsidRPr="00447390" w:rsidRDefault="00D75AA1" w:rsidP="00D75AA1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D75AA1" w:rsidRPr="00447390" w:rsidRDefault="00D75AA1" w:rsidP="00D75AA1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16D1B42A" w:rsidR="00D75AA1" w:rsidRPr="0041184B" w:rsidRDefault="00D6122C" w:rsidP="00D75AA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Земельні ділянки</w:t>
            </w:r>
            <w:r w:rsidR="00FE7932">
              <w:rPr>
                <w:i/>
                <w:sz w:val="24"/>
                <w:szCs w:val="24"/>
              </w:rPr>
              <w:t xml:space="preserve"> вільні</w:t>
            </w:r>
            <w:r w:rsidR="00D75AA1" w:rsidRPr="009B44EB">
              <w:rPr>
                <w:i/>
                <w:sz w:val="24"/>
                <w:szCs w:val="24"/>
              </w:rPr>
              <w:t xml:space="preserve"> від капітальної забудови</w:t>
            </w:r>
            <w:r w:rsidR="00D75AA1">
              <w:rPr>
                <w:i/>
                <w:sz w:val="24"/>
                <w:szCs w:val="24"/>
              </w:rPr>
              <w:t>.</w:t>
            </w:r>
          </w:p>
        </w:tc>
      </w:tr>
      <w:tr w:rsidR="00394D43" w:rsidRPr="003774B2" w14:paraId="2E1CCB39" w14:textId="77777777" w:rsidTr="004C658A">
        <w:trPr>
          <w:cantSplit/>
          <w:trHeight w:val="5725"/>
        </w:trPr>
        <w:tc>
          <w:tcPr>
            <w:tcW w:w="3167" w:type="dxa"/>
          </w:tcPr>
          <w:p w14:paraId="591A714D" w14:textId="3AF05BE3" w:rsidR="00394D43" w:rsidRPr="00447390" w:rsidRDefault="00394D43" w:rsidP="00394D4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55C33E18" w:rsidR="00394D43" w:rsidRPr="00394D43" w:rsidRDefault="00394D43" w:rsidP="00664024">
            <w:pPr>
              <w:pStyle w:val="1"/>
              <w:ind w:firstLine="0"/>
              <w:jc w:val="both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>детального плану території в районі вулиць Академіка</w:t>
            </w:r>
            <w:r w:rsidR="00664024">
              <w:rPr>
                <w:i/>
                <w:snapToGrid w:val="0"/>
                <w:sz w:val="24"/>
                <w:szCs w:val="24"/>
              </w:rPr>
              <w:t xml:space="preserve"> Заболотного, Академіка </w:t>
            </w:r>
            <w:r>
              <w:rPr>
                <w:i/>
                <w:snapToGrid w:val="0"/>
                <w:sz w:val="24"/>
                <w:szCs w:val="24"/>
              </w:rPr>
              <w:t>Лебедєва та Метрологічної</w:t>
            </w:r>
            <w:r w:rsidR="00664024">
              <w:rPr>
                <w:i/>
                <w:snapToGrid w:val="0"/>
                <w:sz w:val="24"/>
                <w:szCs w:val="24"/>
              </w:rPr>
              <w:t xml:space="preserve"> у Голосіївському районі м. Києва</w:t>
            </w:r>
            <w:r>
              <w:rPr>
                <w:i/>
                <w:snapToGrid w:val="0"/>
                <w:sz w:val="24"/>
                <w:szCs w:val="24"/>
              </w:rPr>
              <w:t>, затвердженого рішенням Київської міської ради</w:t>
            </w:r>
            <w:r w:rsidR="00664024">
              <w:rPr>
                <w:i/>
                <w:snapToGrid w:val="0"/>
                <w:sz w:val="24"/>
                <w:szCs w:val="24"/>
              </w:rPr>
              <w:t xml:space="preserve">                            </w:t>
            </w:r>
            <w:r>
              <w:rPr>
                <w:i/>
                <w:snapToGrid w:val="0"/>
                <w:sz w:val="24"/>
                <w:szCs w:val="24"/>
              </w:rPr>
              <w:t xml:space="preserve"> від 21.07.2016 № 827/827</w:t>
            </w:r>
            <w:r w:rsidR="00664024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(далі – ДПТ):</w:t>
            </w:r>
            <w:r>
              <w:rPr>
                <w:i/>
                <w:sz w:val="24"/>
                <w:szCs w:val="24"/>
              </w:rPr>
              <w:t xml:space="preserve"> земельна ділянка, яка роз</w:t>
            </w:r>
            <w:r w:rsidR="00FE7932">
              <w:rPr>
                <w:i/>
                <w:sz w:val="24"/>
                <w:szCs w:val="24"/>
              </w:rPr>
              <w:t xml:space="preserve">ташована за </w:t>
            </w:r>
            <w:proofErr w:type="spellStart"/>
            <w:r w:rsidR="00FE7932">
              <w:rPr>
                <w:i/>
                <w:sz w:val="24"/>
                <w:szCs w:val="24"/>
              </w:rPr>
              <w:t>адресою</w:t>
            </w:r>
            <w:proofErr w:type="spellEnd"/>
            <w:r w:rsidR="00FE7932">
              <w:rPr>
                <w:i/>
                <w:sz w:val="24"/>
                <w:szCs w:val="24"/>
              </w:rPr>
              <w:t>: вул. Івана</w:t>
            </w:r>
            <w:r>
              <w:rPr>
                <w:i/>
                <w:sz w:val="24"/>
                <w:szCs w:val="24"/>
              </w:rPr>
              <w:t xml:space="preserve"> Сірка у Голосіївському районі м. Києва (кадастровий 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номер </w:t>
            </w:r>
            <w:r>
              <w:rPr>
                <w:i/>
                <w:snapToGrid w:val="0"/>
                <w:sz w:val="24"/>
                <w:szCs w:val="24"/>
              </w:rPr>
              <w:t>8000000000:79:484</w:t>
            </w:r>
            <w:r w:rsidRPr="00394D43">
              <w:rPr>
                <w:i/>
                <w:snapToGrid w:val="0"/>
                <w:sz w:val="24"/>
                <w:szCs w:val="24"/>
              </w:rPr>
              <w:t>:00</w:t>
            </w:r>
            <w:r>
              <w:rPr>
                <w:i/>
                <w:snapToGrid w:val="0"/>
                <w:sz w:val="24"/>
                <w:szCs w:val="24"/>
              </w:rPr>
              <w:t>38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згідно наданої схеми),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за функціональним призначенням </w:t>
            </w:r>
            <w:r>
              <w:rPr>
                <w:i/>
                <w:snapToGrid w:val="0"/>
                <w:sz w:val="24"/>
                <w:szCs w:val="24"/>
              </w:rPr>
              <w:t>відноситься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до території житлової забудови </w:t>
            </w:r>
            <w:r>
              <w:rPr>
                <w:i/>
                <w:snapToGrid w:val="0"/>
                <w:sz w:val="24"/>
                <w:szCs w:val="24"/>
              </w:rPr>
              <w:t xml:space="preserve">багатоповерхової; - земельна ділянка, яка розташована </w:t>
            </w:r>
            <w:r w:rsidR="00FE7932">
              <w:rPr>
                <w:i/>
                <w:sz w:val="24"/>
                <w:szCs w:val="24"/>
              </w:rPr>
              <w:t xml:space="preserve">за </w:t>
            </w:r>
            <w:proofErr w:type="spellStart"/>
            <w:r w:rsidR="00FE7932">
              <w:rPr>
                <w:i/>
                <w:sz w:val="24"/>
                <w:szCs w:val="24"/>
              </w:rPr>
              <w:t>адресою</w:t>
            </w:r>
            <w:proofErr w:type="spellEnd"/>
            <w:r w:rsidR="00FE7932">
              <w:rPr>
                <w:i/>
                <w:sz w:val="24"/>
                <w:szCs w:val="24"/>
              </w:rPr>
              <w:t>: вул. Івана</w:t>
            </w:r>
            <w:r>
              <w:rPr>
                <w:i/>
                <w:sz w:val="24"/>
                <w:szCs w:val="24"/>
              </w:rPr>
              <w:t xml:space="preserve"> С</w:t>
            </w:r>
            <w:r w:rsidR="00664024">
              <w:rPr>
                <w:i/>
                <w:sz w:val="24"/>
                <w:szCs w:val="24"/>
              </w:rPr>
              <w:t>ірка</w:t>
            </w:r>
            <w:r w:rsidR="00F827C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 Голосіївському районі м. Києва (кадастровий 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номер </w:t>
            </w:r>
            <w:r>
              <w:rPr>
                <w:i/>
                <w:snapToGrid w:val="0"/>
                <w:sz w:val="24"/>
                <w:szCs w:val="24"/>
              </w:rPr>
              <w:t>8000000000:79:484</w:t>
            </w:r>
            <w:r w:rsidRPr="00394D43">
              <w:rPr>
                <w:i/>
                <w:snapToGrid w:val="0"/>
                <w:sz w:val="24"/>
                <w:szCs w:val="24"/>
              </w:rPr>
              <w:t>:00</w:t>
            </w:r>
            <w:r>
              <w:rPr>
                <w:i/>
                <w:snapToGrid w:val="0"/>
                <w:sz w:val="24"/>
                <w:szCs w:val="24"/>
              </w:rPr>
              <w:t>52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 xml:space="preserve">згідно наданої схеми), 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за функціональним призначенням </w:t>
            </w:r>
            <w:r>
              <w:rPr>
                <w:i/>
                <w:snapToGrid w:val="0"/>
                <w:sz w:val="24"/>
                <w:szCs w:val="24"/>
              </w:rPr>
              <w:t>відноситься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до території</w:t>
            </w:r>
            <w:r>
              <w:rPr>
                <w:i/>
                <w:snapToGrid w:val="0"/>
                <w:sz w:val="24"/>
                <w:szCs w:val="24"/>
              </w:rPr>
              <w:t xml:space="preserve"> вулиць і доріг, земельна ділянка розташована </w:t>
            </w:r>
            <w:r w:rsidR="00664024">
              <w:rPr>
                <w:i/>
                <w:snapToGrid w:val="0"/>
                <w:sz w:val="24"/>
                <w:szCs w:val="24"/>
              </w:rPr>
              <w:t xml:space="preserve">             </w:t>
            </w:r>
            <w:r>
              <w:rPr>
                <w:i/>
                <w:snapToGrid w:val="0"/>
                <w:sz w:val="24"/>
                <w:szCs w:val="24"/>
              </w:rPr>
              <w:t>в межах червоних ліній. Відповідно до проектних рішень ДПТ земельні ділянки відносяться до озеленених територій та проїзду</w:t>
            </w:r>
            <w:r w:rsidR="00C36CB6">
              <w:rPr>
                <w:i/>
                <w:snapToGrid w:val="0"/>
                <w:sz w:val="24"/>
                <w:szCs w:val="24"/>
              </w:rPr>
              <w:t>.</w:t>
            </w:r>
            <w:r w:rsidRPr="00394D43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C36CB6">
              <w:rPr>
                <w:i/>
                <w:snapToGrid w:val="0"/>
                <w:sz w:val="24"/>
                <w:szCs w:val="24"/>
              </w:rPr>
              <w:t>Д</w:t>
            </w:r>
            <w:r>
              <w:rPr>
                <w:i/>
                <w:snapToGrid w:val="0"/>
                <w:sz w:val="24"/>
                <w:szCs w:val="24"/>
              </w:rPr>
              <w:t>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C36CB6">
              <w:rPr>
                <w:i/>
                <w:snapToGrid w:val="0"/>
                <w:sz w:val="24"/>
                <w:szCs w:val="24"/>
              </w:rPr>
              <w:t>ації) від 08.08.2024 № 055-7490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75AA1" w:rsidRPr="003774B2" w14:paraId="1D06D55D" w14:textId="77777777" w:rsidTr="004C658A">
        <w:trPr>
          <w:cantSplit/>
          <w:trHeight w:val="2815"/>
        </w:trPr>
        <w:tc>
          <w:tcPr>
            <w:tcW w:w="3167" w:type="dxa"/>
          </w:tcPr>
          <w:p w14:paraId="3D1B9DAF" w14:textId="77777777" w:rsidR="00D75AA1" w:rsidRDefault="00D75AA1" w:rsidP="00D75AA1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D75AA1" w:rsidRPr="00447390" w:rsidRDefault="00D75AA1" w:rsidP="00D75AA1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30" w:type="dxa"/>
          </w:tcPr>
          <w:p w14:paraId="06C70B3D" w14:textId="63F83713" w:rsidR="00D75AA1" w:rsidRPr="0041184B" w:rsidRDefault="00D75AA1" w:rsidP="00E556D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D251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>
              <w:rPr>
                <w:i/>
                <w:sz w:val="24"/>
                <w:szCs w:val="24"/>
              </w:rPr>
              <w:t>рішенням Київської міської ради</w:t>
            </w:r>
            <w:r w:rsidRPr="002D2513">
              <w:rPr>
                <w:i/>
                <w:sz w:val="24"/>
                <w:szCs w:val="24"/>
              </w:rPr>
              <w:t xml:space="preserve"> від</w:t>
            </w:r>
            <w:r w:rsidR="00E556DD">
              <w:rPr>
                <w:i/>
                <w:sz w:val="24"/>
                <w:szCs w:val="24"/>
              </w:rPr>
              <w:t xml:space="preserve"> 28.03.2002 № 370/1804, земельна ділянка, кадастровий 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номер </w:t>
            </w:r>
            <w:r w:rsidR="00E556DD">
              <w:rPr>
                <w:i/>
                <w:snapToGrid w:val="0"/>
                <w:sz w:val="24"/>
                <w:szCs w:val="24"/>
              </w:rPr>
              <w:t>8000000000:79:484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>:00</w:t>
            </w:r>
            <w:r w:rsidR="00E556DD">
              <w:rPr>
                <w:i/>
                <w:snapToGrid w:val="0"/>
                <w:sz w:val="24"/>
                <w:szCs w:val="24"/>
              </w:rPr>
              <w:t>38,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 за функціональним призначенням </w:t>
            </w:r>
            <w:r w:rsidR="00E556DD">
              <w:rPr>
                <w:i/>
                <w:snapToGrid w:val="0"/>
                <w:sz w:val="24"/>
                <w:szCs w:val="24"/>
              </w:rPr>
              <w:t>відноситься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 до території житлової забудови </w:t>
            </w:r>
            <w:r w:rsidR="00E556DD">
              <w:rPr>
                <w:i/>
                <w:snapToGrid w:val="0"/>
                <w:sz w:val="24"/>
                <w:szCs w:val="24"/>
              </w:rPr>
              <w:t xml:space="preserve">багатоповерхової; земельна ділянка, </w:t>
            </w:r>
            <w:r w:rsidR="00E556DD">
              <w:rPr>
                <w:i/>
                <w:sz w:val="24"/>
                <w:szCs w:val="24"/>
              </w:rPr>
              <w:t xml:space="preserve">кадастровий 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номер </w:t>
            </w:r>
            <w:r w:rsidR="00E556DD">
              <w:rPr>
                <w:i/>
                <w:snapToGrid w:val="0"/>
                <w:sz w:val="24"/>
                <w:szCs w:val="24"/>
              </w:rPr>
              <w:t>8000000000:79:484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>:00</w:t>
            </w:r>
            <w:r w:rsidR="00E556DD">
              <w:rPr>
                <w:i/>
                <w:snapToGrid w:val="0"/>
                <w:sz w:val="24"/>
                <w:szCs w:val="24"/>
              </w:rPr>
              <w:t xml:space="preserve">52, 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за функціональним призначенням </w:t>
            </w:r>
            <w:r w:rsidR="00E556DD">
              <w:rPr>
                <w:i/>
                <w:snapToGrid w:val="0"/>
                <w:sz w:val="24"/>
                <w:szCs w:val="24"/>
              </w:rPr>
              <w:t>відноситься</w:t>
            </w:r>
            <w:r w:rsidR="00E556DD" w:rsidRPr="00394D43">
              <w:rPr>
                <w:i/>
                <w:snapToGrid w:val="0"/>
                <w:sz w:val="24"/>
                <w:szCs w:val="24"/>
              </w:rPr>
              <w:t xml:space="preserve"> до території</w:t>
            </w:r>
            <w:r w:rsidR="00E556DD">
              <w:rPr>
                <w:i/>
                <w:snapToGrid w:val="0"/>
                <w:sz w:val="24"/>
                <w:szCs w:val="24"/>
              </w:rPr>
              <w:t xml:space="preserve"> вулиць і доріг.</w:t>
            </w:r>
          </w:p>
        </w:tc>
      </w:tr>
      <w:tr w:rsidR="002B31E8" w:rsidRPr="003774B2" w14:paraId="13467157" w14:textId="77777777" w:rsidTr="004C658A">
        <w:trPr>
          <w:cantSplit/>
          <w:trHeight w:val="881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F04AB1">
        <w:trPr>
          <w:cantSplit/>
          <w:trHeight w:val="425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6550DE20" w14:textId="77777777" w:rsidR="002B31E8" w:rsidRDefault="002B31E8" w:rsidP="00027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16B5621E" w14:textId="77777777" w:rsidR="004C658A" w:rsidRDefault="004C658A" w:rsidP="00027B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94FEC80" w14:textId="55AE31B2" w:rsidR="004C658A" w:rsidRPr="003774B2" w:rsidRDefault="004C658A" w:rsidP="00027B0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C658A" w:rsidRPr="003774B2" w14:paraId="14F719AA" w14:textId="77777777" w:rsidTr="004C658A">
        <w:trPr>
          <w:cantSplit/>
          <w:trHeight w:val="9770"/>
        </w:trPr>
        <w:tc>
          <w:tcPr>
            <w:tcW w:w="3167" w:type="dxa"/>
          </w:tcPr>
          <w:p w14:paraId="3D07A71A" w14:textId="4DD9634A" w:rsidR="004C658A" w:rsidRPr="00447390" w:rsidRDefault="004C658A" w:rsidP="00D75AA1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108FD2F8" w14:textId="77777777" w:rsidR="004C658A" w:rsidRPr="001E3A85" w:rsidRDefault="004C658A" w:rsidP="00D75AA1">
            <w:pPr>
              <w:ind w:firstLine="32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Pr="00B9549F">
              <w:rPr>
                <w:rFonts w:ascii="Times New Roman" w:hAnsi="Times New Roman" w:cs="Times New Roman"/>
                <w:i/>
              </w:rPr>
              <w:t>площею 0,</w:t>
            </w:r>
            <w:r>
              <w:rPr>
                <w:rFonts w:ascii="Times New Roman" w:hAnsi="Times New Roman" w:cs="Times New Roman"/>
                <w:i/>
              </w:rPr>
              <w:t>3332</w:t>
            </w:r>
            <w:r w:rsidRPr="00B9549F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>
              <w:rPr>
                <w:rFonts w:ascii="Times New Roman" w:hAnsi="Times New Roman" w:cs="Times New Roman"/>
                <w:i/>
              </w:rPr>
              <w:t>79:484:0038</w:t>
            </w:r>
            <w:r w:rsidRPr="00B9549F">
              <w:rPr>
                <w:rFonts w:ascii="Times New Roman" w:hAnsi="Times New Roman" w:cs="Times New Roman"/>
                <w:i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 xml:space="preserve">та площею 0,3289 га </w:t>
            </w:r>
            <w:r w:rsidRPr="00B9549F">
              <w:rPr>
                <w:rFonts w:ascii="Times New Roman" w:hAnsi="Times New Roman" w:cs="Times New Roman"/>
                <w:i/>
              </w:rPr>
              <w:t>(кадастровий номер 8000000000:</w:t>
            </w:r>
            <w:r>
              <w:rPr>
                <w:rFonts w:ascii="Times New Roman" w:hAnsi="Times New Roman" w:cs="Times New Roman"/>
                <w:i/>
              </w:rPr>
              <w:t xml:space="preserve">79:484:0052) </w:t>
            </w:r>
            <w:r w:rsidRPr="00B9549F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iCs/>
              </w:rPr>
              <w:t>вул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Івана Сірка у Голосіївському </w:t>
            </w:r>
            <w:r>
              <w:rPr>
                <w:rFonts w:ascii="Times New Roman" w:hAnsi="Times New Roman" w:cs="Times New Roman"/>
                <w:i/>
              </w:rPr>
              <w:t>районі м. Києва</w:t>
            </w:r>
            <w:r w:rsidRPr="006E3A0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сформовані</w:t>
            </w:r>
            <w:r w:rsidRPr="00401312">
              <w:rPr>
                <w:rFonts w:ascii="Times New Roman" w:hAnsi="Times New Roman" w:cs="Times New Roman"/>
                <w:i/>
              </w:rPr>
              <w:t xml:space="preserve"> на виконання Міської цільової програми використання та охорони земель міста Києва на </w:t>
            </w:r>
            <w:r w:rsidRPr="00526684">
              <w:rPr>
                <w:rFonts w:ascii="Times New Roman" w:hAnsi="Times New Roman" w:cs="Times New Roman"/>
                <w:i/>
              </w:rPr>
              <w:t>2022-2025 роки, затверджен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Pr="00526684">
              <w:rPr>
                <w:rFonts w:ascii="Times New Roman" w:hAnsi="Times New Roman" w:cs="Times New Roman"/>
                <w:i/>
              </w:rPr>
              <w:t xml:space="preserve"> рішенням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в</w:t>
            </w:r>
            <w:r w:rsidRPr="00526684">
              <w:rPr>
                <w:rFonts w:ascii="Times New Roman" w:hAnsi="Times New Roman" w:cs="Times New Roman"/>
                <w:i/>
              </w:rPr>
              <w:t>ід 07.10.2021 № 2727/2768</w:t>
            </w:r>
            <w:r>
              <w:rPr>
                <w:rFonts w:ascii="Times New Roman" w:hAnsi="Times New Roman" w:cs="Times New Roman"/>
                <w:i/>
              </w:rPr>
              <w:t>, та зареєстровані</w:t>
            </w:r>
            <w:r w:rsidRPr="00401312">
              <w:rPr>
                <w:rFonts w:ascii="Times New Roman" w:hAnsi="Times New Roman" w:cs="Times New Roman"/>
                <w:i/>
              </w:rPr>
              <w:t xml:space="preserve"> у Державному земельному кадастрі з цільовим призначенням: </w:t>
            </w:r>
            <w:r w:rsidRPr="00B9549F">
              <w:rPr>
                <w:rFonts w:ascii="Times New Roman" w:hAnsi="Times New Roman" w:cs="Times New Roman"/>
                <w:i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Fonts w:ascii="Times New Roman" w:hAnsi="Times New Roman" w:cs="Times New Roman"/>
                <w:i/>
              </w:rPr>
              <w:t xml:space="preserve"> (категорія земель: </w:t>
            </w:r>
            <w:r w:rsidRPr="00EE6A62">
              <w:rPr>
                <w:rFonts w:ascii="Times New Roman" w:hAnsi="Times New Roman" w:cs="Times New Roman"/>
                <w:i/>
              </w:rPr>
              <w:t xml:space="preserve">землі </w:t>
            </w:r>
            <w:r>
              <w:rPr>
                <w:rFonts w:ascii="Times New Roman" w:hAnsi="Times New Roman" w:cs="Times New Roman"/>
                <w:i/>
              </w:rPr>
              <w:t>рекреаційного призначення).</w:t>
            </w:r>
          </w:p>
          <w:p w14:paraId="7F6A6A8B" w14:textId="25C393A0" w:rsidR="004C658A" w:rsidRPr="00541959" w:rsidRDefault="004C658A" w:rsidP="004C658A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541959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02.11.2023</w:t>
            </w:r>
            <w:r w:rsidRPr="0054195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541959">
              <w:rPr>
                <w:rFonts w:ascii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i/>
              </w:rPr>
              <w:t>7272/7313</w:t>
            </w:r>
            <w:r w:rsidRPr="00541959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541959">
              <w:rPr>
                <w:i/>
              </w:rPr>
              <w:t xml:space="preserve"> </w:t>
            </w:r>
            <w:r w:rsidRPr="00541959">
              <w:rPr>
                <w:rFonts w:ascii="Times New Roman" w:hAnsi="Times New Roman" w:cs="Times New Roman"/>
                <w:i/>
              </w:rPr>
              <w:t xml:space="preserve">території кадастрового кварталу </w:t>
            </w:r>
            <w:r>
              <w:rPr>
                <w:rFonts w:ascii="Times New Roman" w:hAnsi="Times New Roman" w:cs="Times New Roman"/>
                <w:i/>
              </w:rPr>
              <w:t>79:484.</w:t>
            </w:r>
          </w:p>
          <w:p w14:paraId="30866529" w14:textId="77777777" w:rsidR="004C658A" w:rsidRPr="001E3A85" w:rsidRDefault="004C658A" w:rsidP="004C658A">
            <w:pPr>
              <w:ind w:firstLine="3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  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EE3A9BE" w14:textId="77777777" w:rsidR="004C658A" w:rsidRDefault="004C658A" w:rsidP="004C658A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69A25DD8" w14:textId="6EF39B50" w:rsidR="004C658A" w:rsidRPr="001E3A85" w:rsidRDefault="004C658A" w:rsidP="004C658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F7CB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F7CB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F7CB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F20987B" w14:textId="77777777" w:rsidR="004C658A" w:rsidRPr="004C658A" w:rsidRDefault="004C658A" w:rsidP="004C658A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6EDFE9FE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54CD4A9" w14:textId="77777777" w:rsidR="009002CF" w:rsidRPr="0069792B" w:rsidRDefault="009002CF" w:rsidP="009002C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9792B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F871775" w14:textId="77777777" w:rsidR="009002CF" w:rsidRPr="00EC2032" w:rsidRDefault="009002CF" w:rsidP="009002C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стосується прав і соціальної захищеності осіб з інвалідністю та</w:t>
      </w:r>
      <w:r>
        <w:rPr>
          <w:sz w:val="24"/>
          <w:szCs w:val="24"/>
        </w:rPr>
        <w:t xml:space="preserve">                   </w:t>
      </w:r>
      <w:r w:rsidRPr="00EC2032">
        <w:rPr>
          <w:sz w:val="24"/>
          <w:szCs w:val="24"/>
        </w:rPr>
        <w:t xml:space="preserve"> не матиме впливу на життєдіяльність цієї категорії.</w:t>
      </w:r>
    </w:p>
    <w:p w14:paraId="5C9BC8F5" w14:textId="77777777" w:rsidR="009002CF" w:rsidRPr="00EC2032" w:rsidRDefault="009002CF" w:rsidP="009002C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службової інф</w:t>
      </w:r>
      <w:bookmarkStart w:id="0" w:name="_GoBack"/>
      <w:bookmarkEnd w:id="0"/>
      <w:r w:rsidRPr="00EC2032">
        <w:rPr>
          <w:sz w:val="24"/>
          <w:szCs w:val="24"/>
        </w:rPr>
        <w:t>ормації у розумінні статті 6 Закону України «Про доступ до публічної інформації».</w:t>
      </w:r>
    </w:p>
    <w:p w14:paraId="5F793698" w14:textId="77777777" w:rsidR="009002CF" w:rsidRPr="00965A55" w:rsidRDefault="009002CF" w:rsidP="009002CF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C40C5C">
        <w:rPr>
          <w:color w:val="auto"/>
          <w:sz w:val="24"/>
          <w:szCs w:val="24"/>
        </w:rPr>
        <w:t>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5502BD10" w14:textId="77777777" w:rsidR="009002CF" w:rsidRDefault="009002CF" w:rsidP="009002C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B4BFB4B" w14:textId="385D7ABB" w:rsidR="004C658A" w:rsidRPr="0030145A" w:rsidRDefault="009002CF" w:rsidP="0030145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Київської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міської</w:t>
      </w:r>
      <w:proofErr w:type="spellEnd"/>
      <w:r w:rsidRPr="00F8282F">
        <w:rPr>
          <w:sz w:val="24"/>
          <w:szCs w:val="24"/>
          <w:lang w:val="ru-RU"/>
        </w:rPr>
        <w:t xml:space="preserve"> ради </w:t>
      </w:r>
      <w:proofErr w:type="spellStart"/>
      <w:r w:rsidRPr="00F8282F">
        <w:rPr>
          <w:sz w:val="24"/>
          <w:szCs w:val="24"/>
          <w:lang w:val="ru-RU"/>
        </w:rPr>
        <w:t>від</w:t>
      </w:r>
      <w:proofErr w:type="spellEnd"/>
      <w:r w:rsidRPr="00F8282F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F8282F">
        <w:rPr>
          <w:sz w:val="24"/>
          <w:szCs w:val="24"/>
          <w:lang w:val="ru-RU"/>
        </w:rPr>
        <w:t>встановлення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місцевих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податків</w:t>
      </w:r>
      <w:proofErr w:type="spellEnd"/>
      <w:r w:rsidRPr="00F8282F">
        <w:rPr>
          <w:sz w:val="24"/>
          <w:szCs w:val="24"/>
          <w:lang w:val="ru-RU"/>
        </w:rPr>
        <w:t xml:space="preserve"> і </w:t>
      </w:r>
      <w:proofErr w:type="spellStart"/>
      <w:r w:rsidRPr="00F8282F">
        <w:rPr>
          <w:sz w:val="24"/>
          <w:szCs w:val="24"/>
          <w:lang w:val="ru-RU"/>
        </w:rPr>
        <w:t>зборів</w:t>
      </w:r>
      <w:proofErr w:type="spellEnd"/>
      <w:r w:rsidRPr="00F8282F">
        <w:rPr>
          <w:sz w:val="24"/>
          <w:szCs w:val="24"/>
          <w:lang w:val="ru-RU"/>
        </w:rPr>
        <w:t xml:space="preserve"> у м. </w:t>
      </w:r>
      <w:proofErr w:type="spellStart"/>
      <w:r w:rsidRPr="00F8282F">
        <w:rPr>
          <w:sz w:val="24"/>
          <w:szCs w:val="24"/>
          <w:lang w:val="ru-RU"/>
        </w:rPr>
        <w:t>Києві</w:t>
      </w:r>
      <w:proofErr w:type="spellEnd"/>
      <w:r w:rsidRPr="00F8282F">
        <w:rPr>
          <w:sz w:val="24"/>
          <w:szCs w:val="24"/>
          <w:lang w:val="ru-RU"/>
        </w:rPr>
        <w:t>» (</w:t>
      </w:r>
      <w:proofErr w:type="spellStart"/>
      <w:r w:rsidRPr="00F8282F">
        <w:rPr>
          <w:sz w:val="24"/>
          <w:szCs w:val="24"/>
          <w:lang w:val="ru-RU"/>
        </w:rPr>
        <w:t>зі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змінами</w:t>
      </w:r>
      <w:proofErr w:type="spellEnd"/>
      <w:r w:rsidRPr="00F8282F">
        <w:rPr>
          <w:sz w:val="24"/>
          <w:szCs w:val="24"/>
          <w:lang w:val="ru-RU"/>
        </w:rPr>
        <w:t xml:space="preserve"> та </w:t>
      </w:r>
      <w:proofErr w:type="spellStart"/>
      <w:r w:rsidRPr="00F8282F">
        <w:rPr>
          <w:sz w:val="24"/>
          <w:szCs w:val="24"/>
          <w:lang w:val="ru-RU"/>
        </w:rPr>
        <w:t>доповненнями</w:t>
      </w:r>
      <w:proofErr w:type="spellEnd"/>
      <w:r w:rsidRPr="00F8282F">
        <w:rPr>
          <w:sz w:val="24"/>
          <w:szCs w:val="24"/>
          <w:lang w:val="ru-RU"/>
        </w:rPr>
        <w:t xml:space="preserve">) </w:t>
      </w:r>
      <w:proofErr w:type="spellStart"/>
      <w:r w:rsidRPr="00F8282F">
        <w:rPr>
          <w:sz w:val="24"/>
          <w:szCs w:val="24"/>
          <w:lang w:val="ru-RU"/>
        </w:rPr>
        <w:lastRenderedPageBreak/>
        <w:t>розрахунковий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розмір</w:t>
      </w:r>
      <w:proofErr w:type="spellEnd"/>
      <w:r w:rsidRPr="00F8282F">
        <w:rPr>
          <w:sz w:val="24"/>
          <w:szCs w:val="24"/>
          <w:lang w:val="ru-RU"/>
        </w:rPr>
        <w:t xml:space="preserve"> земельного </w:t>
      </w:r>
      <w:proofErr w:type="spellStart"/>
      <w:r w:rsidRPr="00F8282F">
        <w:rPr>
          <w:sz w:val="24"/>
          <w:szCs w:val="24"/>
          <w:lang w:val="ru-RU"/>
        </w:rPr>
        <w:t>податку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складатиме</w:t>
      </w:r>
      <w:proofErr w:type="spellEnd"/>
      <w:r w:rsidRPr="008A66B0">
        <w:rPr>
          <w:sz w:val="24"/>
          <w:szCs w:val="24"/>
          <w:lang w:val="ru-RU"/>
        </w:rPr>
        <w:t>:</w:t>
      </w:r>
      <w:r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</w:p>
    <w:p w14:paraId="13E7C979" w14:textId="0DBCDD83" w:rsidR="004C658A" w:rsidRPr="004C658A" w:rsidRDefault="004C658A" w:rsidP="004C658A">
      <w:pPr>
        <w:shd w:val="clear" w:color="auto" w:fill="FFFFFF"/>
        <w:spacing w:line="269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</w:pPr>
      <w:r w:rsidRPr="004C65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земельної ділянки з кадастровим номером 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8000000000:79:484:00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3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8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- </w:t>
      </w:r>
      <w:r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38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046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 xml:space="preserve"> 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грн 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br/>
        <w:t>2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3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коп. </w:t>
      </w:r>
      <w:r w:rsidRPr="004C65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(0,1%);</w:t>
      </w:r>
    </w:p>
    <w:p w14:paraId="3E28EF43" w14:textId="581720B6" w:rsidR="004C658A" w:rsidRPr="004C658A" w:rsidRDefault="004C658A" w:rsidP="004C658A">
      <w:pPr>
        <w:spacing w:after="100"/>
        <w:ind w:firstLine="426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4C65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 земельної ділянки з кадастровим номером 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8000000000:79:484:0052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- </w:t>
      </w:r>
      <w:r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37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555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грн 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br/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24</w:t>
      </w:r>
      <w:r w:rsidRPr="004C658A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коп.</w:t>
      </w:r>
      <w:r w:rsidRPr="004C658A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(0,1%).</w:t>
      </w:r>
    </w:p>
    <w:p w14:paraId="2F56A0D2" w14:textId="77777777" w:rsidR="004C658A" w:rsidRPr="009002CF" w:rsidRDefault="004C658A" w:rsidP="009002CF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67AE1029" w14:textId="6B0659A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0914F4FA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9337D1">
        <w:rPr>
          <w:sz w:val="24"/>
          <w:szCs w:val="24"/>
        </w:rPr>
        <w:t xml:space="preserve"> користува</w:t>
      </w:r>
      <w:r w:rsidR="00CC556E">
        <w:rPr>
          <w:sz w:val="24"/>
          <w:szCs w:val="24"/>
        </w:rPr>
        <w:t>ння земельн</w:t>
      </w:r>
      <w:r w:rsidR="009337D1">
        <w:rPr>
          <w:sz w:val="24"/>
          <w:szCs w:val="24"/>
        </w:rPr>
        <w:t>ими ділянками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30145A">
      <w:headerReference w:type="even" r:id="rId10"/>
      <w:headerReference w:type="default" r:id="rId11"/>
      <w:footerReference w:type="even" r:id="rId12"/>
      <w:pgSz w:w="11907" w:h="16839" w:code="9"/>
      <w:pgMar w:top="1134" w:right="567" w:bottom="709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1B709DC4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777FF8">
      <w:rPr>
        <w:rFonts w:ascii="Times New Roman" w:hAnsi="Times New Roman" w:cs="Times New Roman"/>
        <w:i w:val="0"/>
        <w:sz w:val="12"/>
        <w:szCs w:val="12"/>
        <w:lang w:val="ru-RU"/>
      </w:rPr>
      <w:t>ПЗН-69584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777FF8">
      <w:rPr>
        <w:rFonts w:ascii="Times New Roman" w:hAnsi="Times New Roman" w:cs="Times New Roman"/>
        <w:bCs/>
        <w:i w:val="0"/>
        <w:sz w:val="12"/>
        <w:szCs w:val="12"/>
        <w:lang w:val="ru-RU"/>
      </w:rPr>
      <w:t>09.08.2024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B86D73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447440534</w:t>
    </w:r>
  </w:p>
  <w:p w14:paraId="28309D3E" w14:textId="79F7047E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232F2" w:rsidRPr="001232F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36685" w14:textId="77777777" w:rsidR="009337D1" w:rsidRPr="007F01BC" w:rsidRDefault="009337D1" w:rsidP="009337D1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tab/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77FF8">
      <w:rPr>
        <w:rFonts w:ascii="Times New Roman" w:hAnsi="Times New Roman" w:cs="Times New Roman"/>
        <w:i w:val="0"/>
        <w:sz w:val="12"/>
        <w:szCs w:val="12"/>
        <w:lang w:val="ru-RU"/>
      </w:rPr>
      <w:t>ПЗН-69584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777FF8">
      <w:rPr>
        <w:rFonts w:ascii="Times New Roman" w:hAnsi="Times New Roman" w:cs="Times New Roman"/>
        <w:bCs/>
        <w:i w:val="0"/>
        <w:sz w:val="12"/>
        <w:szCs w:val="12"/>
        <w:lang w:val="ru-RU"/>
      </w:rPr>
      <w:t>09.08.2024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447440534</w:t>
    </w:r>
  </w:p>
  <w:p w14:paraId="1E40EEF6" w14:textId="44F48959" w:rsidR="009337D1" w:rsidRDefault="009337D1" w:rsidP="009337D1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96359851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145A" w:rsidRPr="0030145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7AFFF3DA" w14:textId="64FC7477" w:rsidR="009337D1" w:rsidRDefault="009337D1" w:rsidP="009337D1">
    <w:pPr>
      <w:pStyle w:val="a9"/>
      <w:tabs>
        <w:tab w:val="clear" w:pos="4819"/>
        <w:tab w:val="clear" w:pos="9639"/>
        <w:tab w:val="left" w:pos="6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1F557FF"/>
    <w:multiLevelType w:val="hybridMultilevel"/>
    <w:tmpl w:val="BFFEFC3E"/>
    <w:lvl w:ilvl="0" w:tplc="029A3D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0E53D3"/>
    <w:rsid w:val="001232F2"/>
    <w:rsid w:val="0013275C"/>
    <w:rsid w:val="00145B8D"/>
    <w:rsid w:val="00186BF7"/>
    <w:rsid w:val="0019332F"/>
    <w:rsid w:val="001C273F"/>
    <w:rsid w:val="001C731E"/>
    <w:rsid w:val="001D04A0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C3707"/>
    <w:rsid w:val="002D61BE"/>
    <w:rsid w:val="002F3AA5"/>
    <w:rsid w:val="002F3AFF"/>
    <w:rsid w:val="003006C2"/>
    <w:rsid w:val="0030145A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94D43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05E7B"/>
    <w:rsid w:val="00413107"/>
    <w:rsid w:val="00417075"/>
    <w:rsid w:val="00420C98"/>
    <w:rsid w:val="00430774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C658A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64024"/>
    <w:rsid w:val="00695949"/>
    <w:rsid w:val="006A0D32"/>
    <w:rsid w:val="006A5331"/>
    <w:rsid w:val="006C2A8C"/>
    <w:rsid w:val="006C4527"/>
    <w:rsid w:val="006C5603"/>
    <w:rsid w:val="006C75C6"/>
    <w:rsid w:val="006E3B69"/>
    <w:rsid w:val="006F02AD"/>
    <w:rsid w:val="00705215"/>
    <w:rsid w:val="007237C4"/>
    <w:rsid w:val="00743FA7"/>
    <w:rsid w:val="00763D54"/>
    <w:rsid w:val="007756E4"/>
    <w:rsid w:val="00777FF8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02CF"/>
    <w:rsid w:val="00902580"/>
    <w:rsid w:val="009337D1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C3100"/>
    <w:rsid w:val="00AD2AC7"/>
    <w:rsid w:val="00AF4456"/>
    <w:rsid w:val="00B03C65"/>
    <w:rsid w:val="00B20171"/>
    <w:rsid w:val="00B24B4A"/>
    <w:rsid w:val="00B34113"/>
    <w:rsid w:val="00B63283"/>
    <w:rsid w:val="00B86D73"/>
    <w:rsid w:val="00B95C48"/>
    <w:rsid w:val="00BA1FE1"/>
    <w:rsid w:val="00BC3C26"/>
    <w:rsid w:val="00BC660F"/>
    <w:rsid w:val="00BE74B3"/>
    <w:rsid w:val="00BF010D"/>
    <w:rsid w:val="00BF7777"/>
    <w:rsid w:val="00C00879"/>
    <w:rsid w:val="00C00D13"/>
    <w:rsid w:val="00C022FD"/>
    <w:rsid w:val="00C05AC5"/>
    <w:rsid w:val="00C14B6C"/>
    <w:rsid w:val="00C16947"/>
    <w:rsid w:val="00C2419B"/>
    <w:rsid w:val="00C36CB6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2FB7"/>
    <w:rsid w:val="00D36DE4"/>
    <w:rsid w:val="00D437FF"/>
    <w:rsid w:val="00D53A42"/>
    <w:rsid w:val="00D6122C"/>
    <w:rsid w:val="00D6499D"/>
    <w:rsid w:val="00D64B3F"/>
    <w:rsid w:val="00D66C8B"/>
    <w:rsid w:val="00D73F87"/>
    <w:rsid w:val="00D75AA1"/>
    <w:rsid w:val="00D75C36"/>
    <w:rsid w:val="00DB24E7"/>
    <w:rsid w:val="00DD25DA"/>
    <w:rsid w:val="00DE01C1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556DD"/>
    <w:rsid w:val="00E62DAE"/>
    <w:rsid w:val="00E62F76"/>
    <w:rsid w:val="00E63B17"/>
    <w:rsid w:val="00E71B39"/>
    <w:rsid w:val="00E8109E"/>
    <w:rsid w:val="00E855E6"/>
    <w:rsid w:val="00E93C90"/>
    <w:rsid w:val="00EA56DC"/>
    <w:rsid w:val="00EB04F5"/>
    <w:rsid w:val="00EB6347"/>
    <w:rsid w:val="00EC2CD6"/>
    <w:rsid w:val="00F04AB1"/>
    <w:rsid w:val="00F240A9"/>
    <w:rsid w:val="00F24C4E"/>
    <w:rsid w:val="00F44CB7"/>
    <w:rsid w:val="00F459BE"/>
    <w:rsid w:val="00F60EEC"/>
    <w:rsid w:val="00F61295"/>
    <w:rsid w:val="00F827C4"/>
    <w:rsid w:val="00FD46BE"/>
    <w:rsid w:val="00FD5CB7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8078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Василига Жанна Леонідівна</dc:creator>
  <cp:keywords>{"doc_type_id":79,"doc_type_name":"Пояснювальна записка Юр особа постійка дозвіл","doc_type_file":"Юр_особа_постійка_дозвіл.docx"}</cp:keywords>
  <cp:lastModifiedBy>Василига Жанна Леонідівна</cp:lastModifiedBy>
  <cp:revision>28</cp:revision>
  <cp:lastPrinted>2024-08-15T07:18:00Z</cp:lastPrinted>
  <dcterms:created xsi:type="dcterms:W3CDTF">2024-08-09T05:42:00Z</dcterms:created>
  <dcterms:modified xsi:type="dcterms:W3CDTF">2024-08-15T07:40:00Z</dcterms:modified>
</cp:coreProperties>
</file>